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DD8BF3" w14:textId="08BEB89A" w:rsidR="00B42B98" w:rsidRDefault="00B42B98" w:rsidP="00B42B98">
      <w:pPr>
        <w:ind w:left="4320" w:firstLine="720"/>
        <w:rPr>
          <w:rFonts w:eastAsia="Times New Roman" w:cs="Arial"/>
          <w:color w:val="auto"/>
          <w:sz w:val="24"/>
          <w:szCs w:val="24"/>
          <w:lang w:val="en-US"/>
        </w:rPr>
      </w:pPr>
      <w:r>
        <w:rPr>
          <w:noProof/>
          <w:lang w:eastAsia="en-GB"/>
        </w:rPr>
        <w:drawing>
          <wp:inline distT="0" distB="0" distL="0" distR="0" wp14:anchorId="7B2483B4" wp14:editId="2FB68951">
            <wp:extent cx="1924050" cy="1085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l="1385" t="10916" r="20024" b="5090"/>
                    <a:stretch>
                      <a:fillRect/>
                    </a:stretch>
                  </pic:blipFill>
                  <pic:spPr bwMode="auto">
                    <a:xfrm>
                      <a:off x="0" y="0"/>
                      <a:ext cx="1924050" cy="1085850"/>
                    </a:xfrm>
                    <a:prstGeom prst="rect">
                      <a:avLst/>
                    </a:prstGeom>
                    <a:noFill/>
                    <a:ln>
                      <a:noFill/>
                    </a:ln>
                  </pic:spPr>
                </pic:pic>
              </a:graphicData>
            </a:graphic>
          </wp:inline>
        </w:drawing>
      </w:r>
    </w:p>
    <w:p w14:paraId="484EB0FC" w14:textId="77777777" w:rsidR="00B42B98" w:rsidRPr="00B42B98" w:rsidRDefault="00B42B98" w:rsidP="00B42B98">
      <w:pPr>
        <w:rPr>
          <w:rFonts w:eastAsia="Times New Roman" w:cs="Arial"/>
          <w:b/>
          <w:color w:val="auto"/>
          <w:szCs w:val="20"/>
          <w:lang w:val="en-US"/>
        </w:rPr>
      </w:pPr>
      <w:r>
        <w:rPr>
          <w:rFonts w:eastAsia="Times New Roman" w:cs="Arial"/>
          <w:sz w:val="24"/>
          <w:szCs w:val="24"/>
          <w:lang w:val="en-US"/>
        </w:rPr>
        <w:tab/>
      </w:r>
      <w:r>
        <w:rPr>
          <w:rFonts w:eastAsia="Times New Roman" w:cs="Arial"/>
          <w:sz w:val="24"/>
          <w:szCs w:val="24"/>
          <w:lang w:val="en-US"/>
        </w:rPr>
        <w:tab/>
      </w:r>
      <w:r>
        <w:rPr>
          <w:rFonts w:eastAsia="Times New Roman" w:cs="Arial"/>
          <w:sz w:val="24"/>
          <w:szCs w:val="24"/>
          <w:lang w:val="en-US"/>
        </w:rPr>
        <w:tab/>
      </w:r>
      <w:r>
        <w:rPr>
          <w:rFonts w:eastAsia="Times New Roman" w:cs="Arial"/>
          <w:sz w:val="24"/>
          <w:szCs w:val="24"/>
          <w:lang w:val="en-US"/>
        </w:rPr>
        <w:tab/>
      </w:r>
      <w:r>
        <w:rPr>
          <w:rFonts w:eastAsia="Times New Roman" w:cs="Arial"/>
          <w:sz w:val="24"/>
          <w:szCs w:val="24"/>
          <w:lang w:val="en-US"/>
        </w:rPr>
        <w:tab/>
      </w:r>
      <w:r>
        <w:rPr>
          <w:rFonts w:eastAsia="Times New Roman" w:cs="Arial"/>
          <w:sz w:val="24"/>
          <w:szCs w:val="24"/>
          <w:lang w:val="en-US"/>
        </w:rPr>
        <w:tab/>
      </w:r>
      <w:r>
        <w:rPr>
          <w:rFonts w:eastAsia="Times New Roman" w:cs="Arial"/>
          <w:sz w:val="24"/>
          <w:szCs w:val="24"/>
          <w:lang w:val="en-US"/>
        </w:rPr>
        <w:tab/>
      </w:r>
      <w:r w:rsidRPr="00B42B98">
        <w:rPr>
          <w:rFonts w:eastAsia="Times New Roman" w:cs="Arial"/>
          <w:b/>
          <w:color w:val="auto"/>
          <w:szCs w:val="20"/>
          <w:lang w:val="en-US"/>
        </w:rPr>
        <w:t>South Tees Site Company Ltd</w:t>
      </w:r>
    </w:p>
    <w:p w14:paraId="0DE886DF" w14:textId="77777777" w:rsidR="00B42B98" w:rsidRPr="00B42B98" w:rsidRDefault="00B42B98" w:rsidP="00B42B98">
      <w:pPr>
        <w:ind w:left="4320" w:firstLine="720"/>
        <w:rPr>
          <w:rStyle w:val="st1"/>
          <w:color w:val="auto"/>
        </w:rPr>
      </w:pPr>
      <w:r w:rsidRPr="00B42B98">
        <w:rPr>
          <w:rStyle w:val="st1"/>
          <w:rFonts w:cs="Arial"/>
          <w:b/>
          <w:color w:val="auto"/>
          <w:szCs w:val="20"/>
        </w:rPr>
        <w:t>Teesside Management Offices</w:t>
      </w:r>
    </w:p>
    <w:p w14:paraId="2C8ACBE4" w14:textId="77777777" w:rsidR="00B42B98" w:rsidRPr="00B42B98" w:rsidRDefault="00B42B98" w:rsidP="00B42B98">
      <w:pPr>
        <w:ind w:left="4320" w:firstLine="720"/>
        <w:rPr>
          <w:rStyle w:val="st1"/>
          <w:rFonts w:cs="Arial"/>
          <w:b/>
          <w:color w:val="auto"/>
          <w:szCs w:val="20"/>
        </w:rPr>
      </w:pPr>
      <w:r w:rsidRPr="00B42B98">
        <w:rPr>
          <w:rStyle w:val="st1"/>
          <w:rFonts w:cs="Arial"/>
          <w:b/>
          <w:color w:val="auto"/>
          <w:szCs w:val="20"/>
        </w:rPr>
        <w:t>Redcar</w:t>
      </w:r>
    </w:p>
    <w:p w14:paraId="63BCAA1D" w14:textId="77777777" w:rsidR="00B42B98" w:rsidRPr="00B42B98" w:rsidRDefault="00B42B98" w:rsidP="00B42B98">
      <w:pPr>
        <w:ind w:left="4320" w:firstLine="720"/>
        <w:rPr>
          <w:color w:val="auto"/>
        </w:rPr>
      </w:pPr>
      <w:r w:rsidRPr="00B42B98">
        <w:rPr>
          <w:rStyle w:val="st1"/>
          <w:rFonts w:cs="Arial"/>
          <w:b/>
          <w:color w:val="auto"/>
          <w:szCs w:val="20"/>
        </w:rPr>
        <w:t>TS10 5QW</w:t>
      </w:r>
    </w:p>
    <w:p w14:paraId="1191DD28" w14:textId="77777777" w:rsidR="00E907C9" w:rsidRDefault="00E907C9" w:rsidP="00217BD6">
      <w:pPr>
        <w:pStyle w:val="Default"/>
        <w:rPr>
          <w:rFonts w:ascii="Arial" w:eastAsiaTheme="minorEastAsia" w:hAnsi="Arial" w:cs="Arial"/>
          <w:b/>
          <w:noProof/>
          <w:lang w:eastAsia="en-GB"/>
        </w:rPr>
      </w:pPr>
    </w:p>
    <w:sdt>
      <w:sdtPr>
        <w:rPr>
          <w:color w:val="auto"/>
        </w:rPr>
        <w:tag w:val="ProjectTitle"/>
        <w:id w:val="827093492"/>
        <w:placeholder>
          <w:docPart w:val="EAFDD94AF81945AD9974DA8E55F51C7B"/>
        </w:placeholder>
        <w:text/>
      </w:sdtPr>
      <w:sdtEndPr/>
      <w:sdtContent>
        <w:p w14:paraId="61BEB009" w14:textId="77777777" w:rsidR="006C05ED" w:rsidRPr="00B42B98" w:rsidRDefault="006C05ED" w:rsidP="006C05ED">
          <w:pPr>
            <w:pStyle w:val="Title"/>
            <w:rPr>
              <w:color w:val="auto"/>
            </w:rPr>
          </w:pPr>
          <w:r w:rsidRPr="00B42B98">
            <w:rPr>
              <w:color w:val="auto"/>
            </w:rPr>
            <w:t>Decontamination Tender</w:t>
          </w:r>
        </w:p>
      </w:sdtContent>
    </w:sdt>
    <w:sdt>
      <w:sdtPr>
        <w:rPr>
          <w:color w:val="auto"/>
        </w:rPr>
        <w:tag w:val="DocumentTitle"/>
        <w:id w:val="439805272"/>
        <w:placeholder>
          <w:docPart w:val="417003871C3447B48A6DD02BE7B92A48"/>
        </w:placeholder>
        <w:text/>
      </w:sdtPr>
      <w:sdtEndPr/>
      <w:sdtContent>
        <w:p w14:paraId="6B7429B3" w14:textId="3BDA7E73" w:rsidR="006C05ED" w:rsidRPr="00B42B98" w:rsidRDefault="006E6E00" w:rsidP="006C05ED">
          <w:pPr>
            <w:pStyle w:val="Subtitle"/>
            <w:rPr>
              <w:color w:val="auto"/>
            </w:rPr>
          </w:pPr>
          <w:r w:rsidRPr="006E6E00">
            <w:rPr>
              <w:color w:val="auto"/>
            </w:rPr>
            <w:t>Works Information</w:t>
          </w:r>
        </w:p>
      </w:sdtContent>
    </w:sdt>
    <w:sdt>
      <w:sdtPr>
        <w:rPr>
          <w:color w:val="auto"/>
        </w:rPr>
        <w:tag w:val="ClientName"/>
        <w:id w:val="-1993785774"/>
        <w:placeholder>
          <w:docPart w:val="69756C10A208469B9DF9779BE8FCA895"/>
        </w:placeholder>
        <w:text/>
      </w:sdtPr>
      <w:sdtEndPr/>
      <w:sdtContent>
        <w:p w14:paraId="6270AF76" w14:textId="77777777" w:rsidR="006C05ED" w:rsidRPr="00B42B98" w:rsidRDefault="006C05ED" w:rsidP="006C05ED">
          <w:pPr>
            <w:pStyle w:val="ClientName"/>
            <w:rPr>
              <w:color w:val="auto"/>
            </w:rPr>
          </w:pPr>
          <w:r w:rsidRPr="00B42B98">
            <w:rPr>
              <w:color w:val="auto"/>
            </w:rPr>
            <w:t>South Tees Site Company</w:t>
          </w:r>
        </w:p>
      </w:sdtContent>
    </w:sdt>
    <w:sdt>
      <w:sdtPr>
        <w:rPr>
          <w:color w:val="auto"/>
        </w:rPr>
        <w:tag w:val="Date"/>
        <w:id w:val="-1517226213"/>
        <w:placeholder>
          <w:docPart w:val="884A9778C40D4343BE386A2A0B5EC448"/>
        </w:placeholder>
        <w:text/>
      </w:sdtPr>
      <w:sdtEndPr/>
      <w:sdtContent>
        <w:p w14:paraId="18083064" w14:textId="5B81AC64" w:rsidR="006C05ED" w:rsidRPr="001D3492" w:rsidRDefault="00E90E54" w:rsidP="006C05ED">
          <w:pPr>
            <w:pStyle w:val="Date"/>
          </w:pPr>
          <w:r>
            <w:rPr>
              <w:color w:val="auto"/>
            </w:rPr>
            <w:t>2</w:t>
          </w:r>
          <w:r w:rsidR="00E6222D">
            <w:rPr>
              <w:color w:val="auto"/>
            </w:rPr>
            <w:t>2 October 2018</w:t>
          </w:r>
        </w:p>
      </w:sdtContent>
    </w:sdt>
    <w:p w14:paraId="22838CE8" w14:textId="77777777" w:rsidR="007724BF" w:rsidRDefault="007724BF">
      <w:pPr>
        <w:spacing w:after="200" w:line="276" w:lineRule="auto"/>
        <w:rPr>
          <w:rFonts w:cs="Arial"/>
        </w:rPr>
      </w:pPr>
    </w:p>
    <w:p w14:paraId="3457D866" w14:textId="77777777" w:rsidR="007724BF" w:rsidRDefault="007724BF">
      <w:pPr>
        <w:spacing w:after="200" w:line="276" w:lineRule="auto"/>
        <w:rPr>
          <w:rFonts w:cs="Arial"/>
        </w:rPr>
      </w:pPr>
      <w:bookmarkStart w:id="0" w:name="_GoBack"/>
      <w:bookmarkEnd w:id="0"/>
    </w:p>
    <w:p w14:paraId="3982DBCB" w14:textId="77777777" w:rsidR="007724BF" w:rsidRDefault="007724BF">
      <w:pPr>
        <w:spacing w:after="200" w:line="276" w:lineRule="auto"/>
        <w:rPr>
          <w:rFonts w:cs="Arial"/>
        </w:rPr>
      </w:pPr>
      <w:r>
        <w:rPr>
          <w:rFonts w:cs="Arial"/>
        </w:rPr>
        <w:br w:type="page"/>
      </w:r>
    </w:p>
    <w:p w14:paraId="705E7E9B" w14:textId="77777777" w:rsidR="006B7CBB" w:rsidRDefault="006B7CBB" w:rsidP="006B7CBB">
      <w:pPr>
        <w:pStyle w:val="H1NoTOC"/>
      </w:pPr>
      <w:r>
        <w:lastRenderedPageBreak/>
        <w:t>Notice</w:t>
      </w:r>
    </w:p>
    <w:p w14:paraId="55B8035F" w14:textId="378B17A0" w:rsidR="006B7CBB" w:rsidRDefault="006B7CBB" w:rsidP="006B7CBB">
      <w:pPr>
        <w:pStyle w:val="BodyText"/>
      </w:pPr>
      <w:r>
        <w:t xml:space="preserve">This document and its contents have been prepared </w:t>
      </w:r>
      <w:r w:rsidR="00F97B89">
        <w:t xml:space="preserve">by Faithful+Gould </w:t>
      </w:r>
      <w:r>
        <w:t>and are intended solely as information for South Tees Site Company Ltd and use in relation to Decontamination of former SSI iron and steel making assets at South Tees Project</w:t>
      </w:r>
      <w:r w:rsidR="00F97B89">
        <w:t xml:space="preserve">.  </w:t>
      </w:r>
      <w:r w:rsidR="001C210A">
        <w:fldChar w:fldCharType="begin"/>
      </w:r>
      <w:r w:rsidR="001C210A">
        <w:instrText xml:space="preserve"> DOCVARIABLE  DocCoName </w:instrText>
      </w:r>
      <w:r w:rsidR="001C210A">
        <w:fldChar w:fldCharType="separate"/>
      </w:r>
      <w:r>
        <w:t>Faithful+Gould</w:t>
      </w:r>
      <w:r w:rsidR="001C210A">
        <w:fldChar w:fldCharType="end"/>
      </w:r>
      <w:r>
        <w:t xml:space="preserve"> assumes no responsibility to any other party in respect of or arising out of or in connection with this document and/or its contents.</w:t>
      </w:r>
    </w:p>
    <w:p w14:paraId="60BB06C6" w14:textId="77777777" w:rsidR="006B7CBB" w:rsidRPr="00526599" w:rsidRDefault="006B7CBB" w:rsidP="006B7CBB">
      <w:pPr>
        <w:pStyle w:val="H3NoNumb"/>
        <w:rPr>
          <w:b/>
        </w:rPr>
      </w:pPr>
      <w:r w:rsidRPr="00526599">
        <w:rPr>
          <w:b/>
        </w:rPr>
        <w:t>Document history</w:t>
      </w:r>
    </w:p>
    <w:tbl>
      <w:tblPr>
        <w:tblStyle w:val="SNCL"/>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2094"/>
        <w:gridCol w:w="1276"/>
        <w:gridCol w:w="1134"/>
        <w:gridCol w:w="1134"/>
        <w:gridCol w:w="1275"/>
        <w:gridCol w:w="1276"/>
      </w:tblGrid>
      <w:tr w:rsidR="006B7CBB" w14:paraId="1D8D77B5" w14:textId="77777777" w:rsidTr="00E90E54">
        <w:tc>
          <w:tcPr>
            <w:tcW w:w="1020" w:type="dxa"/>
            <w:tcBorders>
              <w:top w:val="single" w:sz="4" w:space="0" w:color="auto"/>
              <w:left w:val="single" w:sz="4" w:space="0" w:color="auto"/>
              <w:bottom w:val="single" w:sz="4" w:space="0" w:color="auto"/>
              <w:right w:val="single" w:sz="4" w:space="0" w:color="auto"/>
            </w:tcBorders>
            <w:vAlign w:val="bottom"/>
            <w:hideMark/>
          </w:tcPr>
          <w:p w14:paraId="01FFD6FD" w14:textId="77777777" w:rsidR="006B7CBB" w:rsidRDefault="006B7CBB">
            <w:pPr>
              <w:pStyle w:val="TableHeading"/>
              <w:jc w:val="center"/>
              <w:rPr>
                <w:rFonts w:cs="Times New Roman"/>
                <w:color w:val="auto"/>
              </w:rPr>
            </w:pPr>
            <w:r>
              <w:rPr>
                <w:rFonts w:cs="Times New Roman"/>
                <w:color w:val="auto"/>
              </w:rPr>
              <w:t>Revision</w:t>
            </w:r>
          </w:p>
        </w:tc>
        <w:tc>
          <w:tcPr>
            <w:tcW w:w="2094" w:type="dxa"/>
            <w:tcBorders>
              <w:top w:val="single" w:sz="4" w:space="0" w:color="auto"/>
              <w:left w:val="single" w:sz="4" w:space="0" w:color="auto"/>
              <w:bottom w:val="single" w:sz="4" w:space="0" w:color="auto"/>
              <w:right w:val="single" w:sz="4" w:space="0" w:color="auto"/>
            </w:tcBorders>
            <w:vAlign w:val="bottom"/>
            <w:hideMark/>
          </w:tcPr>
          <w:p w14:paraId="4EE76174" w14:textId="77777777" w:rsidR="006B7CBB" w:rsidRDefault="006B7CBB">
            <w:pPr>
              <w:pStyle w:val="TableHeading"/>
              <w:jc w:val="center"/>
              <w:rPr>
                <w:rFonts w:cs="Times New Roman"/>
                <w:color w:val="auto"/>
              </w:rPr>
            </w:pPr>
            <w:r>
              <w:rPr>
                <w:rFonts w:cs="Times New Roman"/>
                <w:color w:val="auto"/>
              </w:rPr>
              <w:t>Purpose description</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D928C2B" w14:textId="77777777" w:rsidR="006B7CBB" w:rsidRDefault="006B7CBB">
            <w:pPr>
              <w:pStyle w:val="TableHeading"/>
              <w:jc w:val="center"/>
              <w:rPr>
                <w:rFonts w:cs="Times New Roman"/>
                <w:color w:val="auto"/>
              </w:rPr>
            </w:pPr>
            <w:r>
              <w:rPr>
                <w:rFonts w:cs="Times New Roman"/>
                <w:color w:val="auto"/>
              </w:rPr>
              <w:t>Originated</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A17FCC1" w14:textId="77777777" w:rsidR="006B7CBB" w:rsidRDefault="006B7CBB">
            <w:pPr>
              <w:pStyle w:val="TableHeading"/>
              <w:jc w:val="center"/>
              <w:rPr>
                <w:rFonts w:cs="Times New Roman"/>
                <w:color w:val="auto"/>
              </w:rPr>
            </w:pPr>
            <w:r>
              <w:rPr>
                <w:rFonts w:cs="Times New Roman"/>
                <w:color w:val="auto"/>
              </w:rPr>
              <w:t>Checked</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5483542" w14:textId="77777777" w:rsidR="006B7CBB" w:rsidRDefault="006B7CBB">
            <w:pPr>
              <w:pStyle w:val="TableHeading"/>
              <w:jc w:val="center"/>
              <w:rPr>
                <w:rFonts w:cs="Times New Roman"/>
                <w:color w:val="auto"/>
              </w:rPr>
            </w:pPr>
            <w:r>
              <w:rPr>
                <w:rFonts w:cs="Times New Roman"/>
                <w:color w:val="auto"/>
              </w:rPr>
              <w:t>Reviewed</w:t>
            </w:r>
          </w:p>
        </w:tc>
        <w:tc>
          <w:tcPr>
            <w:tcW w:w="1275" w:type="dxa"/>
            <w:tcBorders>
              <w:top w:val="single" w:sz="4" w:space="0" w:color="auto"/>
              <w:left w:val="single" w:sz="4" w:space="0" w:color="auto"/>
              <w:bottom w:val="single" w:sz="4" w:space="0" w:color="auto"/>
              <w:right w:val="single" w:sz="4" w:space="0" w:color="auto"/>
            </w:tcBorders>
            <w:vAlign w:val="bottom"/>
            <w:hideMark/>
          </w:tcPr>
          <w:p w14:paraId="5E2FE0D8" w14:textId="77777777" w:rsidR="006B7CBB" w:rsidRDefault="006B7CBB">
            <w:pPr>
              <w:pStyle w:val="TableHeading"/>
              <w:jc w:val="center"/>
              <w:rPr>
                <w:rFonts w:cs="Times New Roman"/>
                <w:color w:val="auto"/>
              </w:rPr>
            </w:pPr>
            <w:r>
              <w:rPr>
                <w:rFonts w:cs="Times New Roman"/>
                <w:color w:val="auto"/>
              </w:rPr>
              <w:t>Authorised</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DD19D53" w14:textId="77777777" w:rsidR="006B7CBB" w:rsidRDefault="006B7CBB">
            <w:pPr>
              <w:pStyle w:val="TableHeading"/>
              <w:jc w:val="center"/>
              <w:rPr>
                <w:rFonts w:cs="Times New Roman"/>
                <w:color w:val="auto"/>
              </w:rPr>
            </w:pPr>
            <w:r>
              <w:rPr>
                <w:rFonts w:cs="Times New Roman"/>
                <w:color w:val="auto"/>
              </w:rPr>
              <w:t>Date</w:t>
            </w:r>
          </w:p>
        </w:tc>
      </w:tr>
      <w:tr w:rsidR="006B7CBB" w14:paraId="39664CEC" w14:textId="77777777" w:rsidTr="00E90E54">
        <w:tc>
          <w:tcPr>
            <w:tcW w:w="1020" w:type="dxa"/>
            <w:tcBorders>
              <w:top w:val="single" w:sz="4" w:space="0" w:color="auto"/>
              <w:left w:val="single" w:sz="4" w:space="0" w:color="auto"/>
              <w:bottom w:val="single" w:sz="4" w:space="0" w:color="auto"/>
              <w:right w:val="single" w:sz="4" w:space="0" w:color="auto"/>
            </w:tcBorders>
            <w:hideMark/>
          </w:tcPr>
          <w:p w14:paraId="57362CA6" w14:textId="77777777" w:rsidR="006B7CBB" w:rsidRDefault="006B7CBB">
            <w:pPr>
              <w:pStyle w:val="TableText"/>
              <w:rPr>
                <w:rFonts w:cs="Times New Roman"/>
              </w:rPr>
            </w:pPr>
            <w:r>
              <w:rPr>
                <w:rFonts w:cs="Times New Roman"/>
              </w:rPr>
              <w:t>Rev 1.0</w:t>
            </w:r>
          </w:p>
        </w:tc>
        <w:tc>
          <w:tcPr>
            <w:tcW w:w="2094" w:type="dxa"/>
            <w:tcBorders>
              <w:top w:val="single" w:sz="4" w:space="0" w:color="auto"/>
              <w:left w:val="single" w:sz="4" w:space="0" w:color="auto"/>
              <w:bottom w:val="single" w:sz="4" w:space="0" w:color="auto"/>
              <w:right w:val="single" w:sz="4" w:space="0" w:color="auto"/>
            </w:tcBorders>
            <w:hideMark/>
          </w:tcPr>
          <w:p w14:paraId="545BCA99" w14:textId="77777777" w:rsidR="006B7CBB" w:rsidRDefault="006B7CBB">
            <w:pPr>
              <w:pStyle w:val="TableText"/>
              <w:rPr>
                <w:rFonts w:cs="Times New Roman"/>
              </w:rPr>
            </w:pPr>
            <w:r>
              <w:rPr>
                <w:rFonts w:cs="Times New Roman"/>
              </w:rPr>
              <w:t>Draft for Review</w:t>
            </w:r>
          </w:p>
        </w:tc>
        <w:tc>
          <w:tcPr>
            <w:tcW w:w="1276" w:type="dxa"/>
            <w:tcBorders>
              <w:top w:val="single" w:sz="4" w:space="0" w:color="auto"/>
              <w:left w:val="single" w:sz="4" w:space="0" w:color="auto"/>
              <w:bottom w:val="single" w:sz="4" w:space="0" w:color="auto"/>
              <w:right w:val="single" w:sz="4" w:space="0" w:color="auto"/>
            </w:tcBorders>
            <w:hideMark/>
          </w:tcPr>
          <w:p w14:paraId="607837CE" w14:textId="195F0B7E" w:rsidR="006B7CBB" w:rsidRDefault="006B7CBB">
            <w:pPr>
              <w:pStyle w:val="TableText"/>
              <w:jc w:val="center"/>
              <w:rPr>
                <w:rFonts w:cs="Times New Roman"/>
              </w:rPr>
            </w:pPr>
            <w:r>
              <w:rPr>
                <w:rFonts w:cs="Times New Roman"/>
              </w:rPr>
              <w:t>DRR</w:t>
            </w:r>
          </w:p>
        </w:tc>
        <w:tc>
          <w:tcPr>
            <w:tcW w:w="1134" w:type="dxa"/>
            <w:tcBorders>
              <w:top w:val="single" w:sz="4" w:space="0" w:color="auto"/>
              <w:left w:val="single" w:sz="4" w:space="0" w:color="auto"/>
              <w:bottom w:val="single" w:sz="4" w:space="0" w:color="auto"/>
              <w:right w:val="single" w:sz="4" w:space="0" w:color="auto"/>
            </w:tcBorders>
          </w:tcPr>
          <w:p w14:paraId="7F01CD12" w14:textId="0ABD51E2" w:rsidR="006B7CBB" w:rsidRDefault="00E6222D">
            <w:pPr>
              <w:pStyle w:val="TableText"/>
              <w:jc w:val="center"/>
              <w:rPr>
                <w:rFonts w:cs="Times New Roman"/>
              </w:rPr>
            </w:pPr>
            <w:r>
              <w:rPr>
                <w:rFonts w:cs="Times New Roman"/>
              </w:rPr>
              <w:t>AGB / IG</w:t>
            </w:r>
          </w:p>
        </w:tc>
        <w:tc>
          <w:tcPr>
            <w:tcW w:w="1134" w:type="dxa"/>
            <w:tcBorders>
              <w:top w:val="single" w:sz="4" w:space="0" w:color="auto"/>
              <w:left w:val="single" w:sz="4" w:space="0" w:color="auto"/>
              <w:bottom w:val="single" w:sz="4" w:space="0" w:color="auto"/>
              <w:right w:val="single" w:sz="4" w:space="0" w:color="auto"/>
            </w:tcBorders>
          </w:tcPr>
          <w:p w14:paraId="032539AF" w14:textId="77777777" w:rsidR="006B7CBB" w:rsidRDefault="006B7CBB">
            <w:pPr>
              <w:pStyle w:val="TableText"/>
              <w:jc w:val="center"/>
              <w:rPr>
                <w:rFonts w:cs="Times New Roman"/>
              </w:rPr>
            </w:pPr>
          </w:p>
        </w:tc>
        <w:tc>
          <w:tcPr>
            <w:tcW w:w="1275" w:type="dxa"/>
            <w:tcBorders>
              <w:top w:val="single" w:sz="4" w:space="0" w:color="auto"/>
              <w:left w:val="single" w:sz="4" w:space="0" w:color="auto"/>
              <w:bottom w:val="single" w:sz="4" w:space="0" w:color="auto"/>
              <w:right w:val="single" w:sz="4" w:space="0" w:color="auto"/>
            </w:tcBorders>
          </w:tcPr>
          <w:p w14:paraId="462291B7" w14:textId="77777777" w:rsidR="006B7CBB" w:rsidRDefault="006B7CBB">
            <w:pPr>
              <w:pStyle w:val="TableText"/>
              <w:jc w:val="center"/>
              <w:rPr>
                <w:rFonts w:cs="Times New Roman"/>
              </w:rPr>
            </w:pPr>
          </w:p>
        </w:tc>
        <w:tc>
          <w:tcPr>
            <w:tcW w:w="1276" w:type="dxa"/>
            <w:tcBorders>
              <w:top w:val="single" w:sz="4" w:space="0" w:color="auto"/>
              <w:left w:val="single" w:sz="4" w:space="0" w:color="auto"/>
              <w:bottom w:val="single" w:sz="4" w:space="0" w:color="auto"/>
              <w:right w:val="single" w:sz="4" w:space="0" w:color="auto"/>
            </w:tcBorders>
            <w:hideMark/>
          </w:tcPr>
          <w:p w14:paraId="373CFA97" w14:textId="24A55EBB" w:rsidR="006B7CBB" w:rsidRDefault="00904BA6">
            <w:pPr>
              <w:pStyle w:val="TableText"/>
              <w:rPr>
                <w:rFonts w:cs="Times New Roman"/>
              </w:rPr>
            </w:pPr>
            <w:r>
              <w:rPr>
                <w:rFonts w:cs="Times New Roman"/>
              </w:rPr>
              <w:t>02.10</w:t>
            </w:r>
            <w:r w:rsidR="006B7CBB">
              <w:rPr>
                <w:rFonts w:cs="Times New Roman"/>
              </w:rPr>
              <w:t>.2018</w:t>
            </w:r>
          </w:p>
        </w:tc>
      </w:tr>
      <w:tr w:rsidR="006B7CBB" w14:paraId="62FD0968" w14:textId="77777777" w:rsidTr="00E90E54">
        <w:tc>
          <w:tcPr>
            <w:tcW w:w="1020" w:type="dxa"/>
            <w:tcBorders>
              <w:top w:val="single" w:sz="4" w:space="0" w:color="auto"/>
              <w:left w:val="single" w:sz="4" w:space="0" w:color="auto"/>
              <w:bottom w:val="single" w:sz="4" w:space="0" w:color="auto"/>
              <w:right w:val="single" w:sz="4" w:space="0" w:color="auto"/>
            </w:tcBorders>
          </w:tcPr>
          <w:p w14:paraId="24A1B9F3" w14:textId="2E512825" w:rsidR="006B7CBB" w:rsidRDefault="001C210A">
            <w:pPr>
              <w:pStyle w:val="TableText"/>
              <w:rPr>
                <w:rFonts w:cs="Times New Roman"/>
              </w:rPr>
            </w:pPr>
            <w:r>
              <w:rPr>
                <w:rFonts w:cs="Times New Roman"/>
              </w:rPr>
              <w:t>Rev 2.0</w:t>
            </w:r>
          </w:p>
        </w:tc>
        <w:tc>
          <w:tcPr>
            <w:tcW w:w="2094" w:type="dxa"/>
            <w:tcBorders>
              <w:top w:val="single" w:sz="4" w:space="0" w:color="auto"/>
              <w:left w:val="single" w:sz="4" w:space="0" w:color="auto"/>
              <w:bottom w:val="single" w:sz="4" w:space="0" w:color="auto"/>
              <w:right w:val="single" w:sz="4" w:space="0" w:color="auto"/>
            </w:tcBorders>
          </w:tcPr>
          <w:p w14:paraId="6B676C4D" w14:textId="77EE4C50" w:rsidR="006B7CBB" w:rsidRDefault="001C210A">
            <w:pPr>
              <w:pStyle w:val="TableText"/>
              <w:rPr>
                <w:rFonts w:cs="Times New Roman"/>
              </w:rPr>
            </w:pPr>
            <w:r>
              <w:rPr>
                <w:rFonts w:cs="Times New Roman"/>
              </w:rPr>
              <w:t>Addition of Pricing information section</w:t>
            </w:r>
          </w:p>
        </w:tc>
        <w:tc>
          <w:tcPr>
            <w:tcW w:w="1276" w:type="dxa"/>
            <w:tcBorders>
              <w:top w:val="single" w:sz="4" w:space="0" w:color="auto"/>
              <w:left w:val="single" w:sz="4" w:space="0" w:color="auto"/>
              <w:bottom w:val="single" w:sz="4" w:space="0" w:color="auto"/>
              <w:right w:val="single" w:sz="4" w:space="0" w:color="auto"/>
            </w:tcBorders>
          </w:tcPr>
          <w:p w14:paraId="79B2BBAF" w14:textId="72DACF73" w:rsidR="006B7CBB" w:rsidRDefault="001C210A">
            <w:pPr>
              <w:pStyle w:val="TableText"/>
              <w:jc w:val="center"/>
              <w:rPr>
                <w:rFonts w:cs="Times New Roman"/>
              </w:rPr>
            </w:pPr>
            <w:r>
              <w:rPr>
                <w:rFonts w:cs="Times New Roman"/>
              </w:rPr>
              <w:t>IG</w:t>
            </w:r>
          </w:p>
        </w:tc>
        <w:tc>
          <w:tcPr>
            <w:tcW w:w="1134" w:type="dxa"/>
            <w:tcBorders>
              <w:top w:val="single" w:sz="4" w:space="0" w:color="auto"/>
              <w:left w:val="single" w:sz="4" w:space="0" w:color="auto"/>
              <w:bottom w:val="single" w:sz="4" w:space="0" w:color="auto"/>
              <w:right w:val="single" w:sz="4" w:space="0" w:color="auto"/>
            </w:tcBorders>
          </w:tcPr>
          <w:p w14:paraId="58D71033" w14:textId="63F08818" w:rsidR="006B7CBB" w:rsidRDefault="001C210A">
            <w:pPr>
              <w:pStyle w:val="TableText"/>
              <w:jc w:val="center"/>
              <w:rPr>
                <w:rFonts w:cs="Times New Roman"/>
              </w:rPr>
            </w:pPr>
            <w:r>
              <w:rPr>
                <w:rFonts w:cs="Times New Roman"/>
              </w:rPr>
              <w:t>AGB</w:t>
            </w:r>
          </w:p>
        </w:tc>
        <w:tc>
          <w:tcPr>
            <w:tcW w:w="1134" w:type="dxa"/>
            <w:tcBorders>
              <w:top w:val="single" w:sz="4" w:space="0" w:color="auto"/>
              <w:left w:val="single" w:sz="4" w:space="0" w:color="auto"/>
              <w:bottom w:val="single" w:sz="4" w:space="0" w:color="auto"/>
              <w:right w:val="single" w:sz="4" w:space="0" w:color="auto"/>
            </w:tcBorders>
          </w:tcPr>
          <w:p w14:paraId="4D955675" w14:textId="77777777" w:rsidR="006B7CBB" w:rsidRDefault="006B7CBB">
            <w:pPr>
              <w:pStyle w:val="TableText"/>
              <w:jc w:val="center"/>
              <w:rPr>
                <w:rFonts w:cs="Times New Roman"/>
              </w:rPr>
            </w:pPr>
          </w:p>
        </w:tc>
        <w:tc>
          <w:tcPr>
            <w:tcW w:w="1275" w:type="dxa"/>
            <w:tcBorders>
              <w:top w:val="single" w:sz="4" w:space="0" w:color="auto"/>
              <w:left w:val="single" w:sz="4" w:space="0" w:color="auto"/>
              <w:bottom w:val="single" w:sz="4" w:space="0" w:color="auto"/>
              <w:right w:val="single" w:sz="4" w:space="0" w:color="auto"/>
            </w:tcBorders>
          </w:tcPr>
          <w:p w14:paraId="7522AFDA" w14:textId="77777777" w:rsidR="006B7CBB" w:rsidRDefault="006B7CBB">
            <w:pPr>
              <w:pStyle w:val="TableText"/>
              <w:jc w:val="center"/>
              <w:rPr>
                <w:rFonts w:cs="Times New Roman"/>
              </w:rPr>
            </w:pPr>
          </w:p>
        </w:tc>
        <w:tc>
          <w:tcPr>
            <w:tcW w:w="1276" w:type="dxa"/>
            <w:tcBorders>
              <w:top w:val="single" w:sz="4" w:space="0" w:color="auto"/>
              <w:left w:val="single" w:sz="4" w:space="0" w:color="auto"/>
              <w:bottom w:val="single" w:sz="4" w:space="0" w:color="auto"/>
              <w:right w:val="single" w:sz="4" w:space="0" w:color="auto"/>
            </w:tcBorders>
          </w:tcPr>
          <w:p w14:paraId="4EC126DF" w14:textId="69E475D6" w:rsidR="006B7CBB" w:rsidRDefault="001C210A">
            <w:pPr>
              <w:pStyle w:val="TableText"/>
              <w:rPr>
                <w:rFonts w:cs="Times New Roman"/>
              </w:rPr>
            </w:pPr>
            <w:r>
              <w:rPr>
                <w:rFonts w:cs="Times New Roman"/>
              </w:rPr>
              <w:t>22.10.2018</w:t>
            </w:r>
          </w:p>
        </w:tc>
      </w:tr>
      <w:tr w:rsidR="006B7CBB" w14:paraId="3A6E23BD" w14:textId="77777777" w:rsidTr="00E90E54">
        <w:tc>
          <w:tcPr>
            <w:tcW w:w="1020" w:type="dxa"/>
            <w:tcBorders>
              <w:top w:val="single" w:sz="4" w:space="0" w:color="auto"/>
              <w:left w:val="single" w:sz="4" w:space="0" w:color="auto"/>
              <w:bottom w:val="single" w:sz="4" w:space="0" w:color="auto"/>
              <w:right w:val="single" w:sz="4" w:space="0" w:color="auto"/>
            </w:tcBorders>
          </w:tcPr>
          <w:p w14:paraId="205ED72A" w14:textId="77777777" w:rsidR="006B7CBB" w:rsidRDefault="006B7CBB">
            <w:pPr>
              <w:pStyle w:val="TableText"/>
              <w:rPr>
                <w:rFonts w:cs="Times New Roman"/>
              </w:rPr>
            </w:pPr>
          </w:p>
        </w:tc>
        <w:tc>
          <w:tcPr>
            <w:tcW w:w="2094" w:type="dxa"/>
            <w:tcBorders>
              <w:top w:val="single" w:sz="4" w:space="0" w:color="auto"/>
              <w:left w:val="single" w:sz="4" w:space="0" w:color="auto"/>
              <w:bottom w:val="single" w:sz="4" w:space="0" w:color="auto"/>
              <w:right w:val="single" w:sz="4" w:space="0" w:color="auto"/>
            </w:tcBorders>
          </w:tcPr>
          <w:p w14:paraId="71712DD0" w14:textId="77777777" w:rsidR="006B7CBB" w:rsidRDefault="006B7CBB">
            <w:pPr>
              <w:pStyle w:val="TableText"/>
              <w:rPr>
                <w:rFonts w:cs="Times New Roman"/>
              </w:rPr>
            </w:pPr>
          </w:p>
        </w:tc>
        <w:tc>
          <w:tcPr>
            <w:tcW w:w="1276" w:type="dxa"/>
            <w:tcBorders>
              <w:top w:val="single" w:sz="4" w:space="0" w:color="auto"/>
              <w:left w:val="single" w:sz="4" w:space="0" w:color="auto"/>
              <w:bottom w:val="single" w:sz="4" w:space="0" w:color="auto"/>
              <w:right w:val="single" w:sz="4" w:space="0" w:color="auto"/>
            </w:tcBorders>
          </w:tcPr>
          <w:p w14:paraId="1DF77050" w14:textId="77777777" w:rsidR="006B7CBB" w:rsidRDefault="006B7CBB">
            <w:pPr>
              <w:pStyle w:val="TableText"/>
              <w:jc w:val="center"/>
              <w:rPr>
                <w:rFonts w:cs="Times New Roman"/>
              </w:rPr>
            </w:pPr>
          </w:p>
        </w:tc>
        <w:tc>
          <w:tcPr>
            <w:tcW w:w="1134" w:type="dxa"/>
            <w:tcBorders>
              <w:top w:val="single" w:sz="4" w:space="0" w:color="auto"/>
              <w:left w:val="single" w:sz="4" w:space="0" w:color="auto"/>
              <w:bottom w:val="single" w:sz="4" w:space="0" w:color="auto"/>
              <w:right w:val="single" w:sz="4" w:space="0" w:color="auto"/>
            </w:tcBorders>
          </w:tcPr>
          <w:p w14:paraId="389C6855" w14:textId="77777777" w:rsidR="006B7CBB" w:rsidRDefault="006B7CBB">
            <w:pPr>
              <w:pStyle w:val="TableText"/>
              <w:jc w:val="center"/>
              <w:rPr>
                <w:rFonts w:cs="Times New Roman"/>
              </w:rPr>
            </w:pPr>
          </w:p>
        </w:tc>
        <w:tc>
          <w:tcPr>
            <w:tcW w:w="1134" w:type="dxa"/>
            <w:tcBorders>
              <w:top w:val="single" w:sz="4" w:space="0" w:color="auto"/>
              <w:left w:val="single" w:sz="4" w:space="0" w:color="auto"/>
              <w:bottom w:val="single" w:sz="4" w:space="0" w:color="auto"/>
              <w:right w:val="single" w:sz="4" w:space="0" w:color="auto"/>
            </w:tcBorders>
          </w:tcPr>
          <w:p w14:paraId="635B525A" w14:textId="77777777" w:rsidR="006B7CBB" w:rsidRDefault="006B7CBB">
            <w:pPr>
              <w:pStyle w:val="TableText"/>
              <w:jc w:val="center"/>
              <w:rPr>
                <w:rFonts w:cs="Times New Roman"/>
              </w:rPr>
            </w:pPr>
          </w:p>
        </w:tc>
        <w:tc>
          <w:tcPr>
            <w:tcW w:w="1275" w:type="dxa"/>
            <w:tcBorders>
              <w:top w:val="single" w:sz="4" w:space="0" w:color="auto"/>
              <w:left w:val="single" w:sz="4" w:space="0" w:color="auto"/>
              <w:bottom w:val="single" w:sz="4" w:space="0" w:color="auto"/>
              <w:right w:val="single" w:sz="4" w:space="0" w:color="auto"/>
            </w:tcBorders>
          </w:tcPr>
          <w:p w14:paraId="41733FDB" w14:textId="77777777" w:rsidR="006B7CBB" w:rsidRDefault="006B7CBB">
            <w:pPr>
              <w:pStyle w:val="TableText"/>
              <w:jc w:val="center"/>
              <w:rPr>
                <w:rFonts w:cs="Times New Roman"/>
              </w:rPr>
            </w:pPr>
          </w:p>
        </w:tc>
        <w:tc>
          <w:tcPr>
            <w:tcW w:w="1276" w:type="dxa"/>
            <w:tcBorders>
              <w:top w:val="single" w:sz="4" w:space="0" w:color="auto"/>
              <w:left w:val="single" w:sz="4" w:space="0" w:color="auto"/>
              <w:bottom w:val="single" w:sz="4" w:space="0" w:color="auto"/>
              <w:right w:val="single" w:sz="4" w:space="0" w:color="auto"/>
            </w:tcBorders>
          </w:tcPr>
          <w:p w14:paraId="7D658361" w14:textId="77777777" w:rsidR="006B7CBB" w:rsidRDefault="006B7CBB">
            <w:pPr>
              <w:pStyle w:val="TableText"/>
              <w:rPr>
                <w:rFonts w:cs="Times New Roman"/>
              </w:rPr>
            </w:pPr>
          </w:p>
        </w:tc>
      </w:tr>
      <w:tr w:rsidR="006B7CBB" w14:paraId="09FCAF86" w14:textId="77777777" w:rsidTr="00E90E54">
        <w:tc>
          <w:tcPr>
            <w:tcW w:w="1020" w:type="dxa"/>
            <w:tcBorders>
              <w:top w:val="single" w:sz="4" w:space="0" w:color="auto"/>
              <w:left w:val="single" w:sz="4" w:space="0" w:color="auto"/>
              <w:bottom w:val="single" w:sz="4" w:space="0" w:color="auto"/>
              <w:right w:val="single" w:sz="4" w:space="0" w:color="auto"/>
            </w:tcBorders>
          </w:tcPr>
          <w:p w14:paraId="2E5DDB1C" w14:textId="77777777" w:rsidR="006B7CBB" w:rsidRDefault="006B7CBB">
            <w:pPr>
              <w:pStyle w:val="TableText"/>
              <w:rPr>
                <w:rFonts w:cs="Times New Roman"/>
              </w:rPr>
            </w:pPr>
          </w:p>
        </w:tc>
        <w:tc>
          <w:tcPr>
            <w:tcW w:w="2094" w:type="dxa"/>
            <w:tcBorders>
              <w:top w:val="single" w:sz="4" w:space="0" w:color="auto"/>
              <w:left w:val="single" w:sz="4" w:space="0" w:color="auto"/>
              <w:bottom w:val="single" w:sz="4" w:space="0" w:color="auto"/>
              <w:right w:val="single" w:sz="4" w:space="0" w:color="auto"/>
            </w:tcBorders>
          </w:tcPr>
          <w:p w14:paraId="61AB85A8" w14:textId="77777777" w:rsidR="006B7CBB" w:rsidRDefault="006B7CBB">
            <w:pPr>
              <w:pStyle w:val="TableText"/>
              <w:rPr>
                <w:rFonts w:cs="Times New Roman"/>
              </w:rPr>
            </w:pPr>
          </w:p>
        </w:tc>
        <w:tc>
          <w:tcPr>
            <w:tcW w:w="1276" w:type="dxa"/>
            <w:tcBorders>
              <w:top w:val="single" w:sz="4" w:space="0" w:color="auto"/>
              <w:left w:val="single" w:sz="4" w:space="0" w:color="auto"/>
              <w:bottom w:val="single" w:sz="4" w:space="0" w:color="auto"/>
              <w:right w:val="single" w:sz="4" w:space="0" w:color="auto"/>
            </w:tcBorders>
          </w:tcPr>
          <w:p w14:paraId="0C33589F" w14:textId="77777777" w:rsidR="006B7CBB" w:rsidRDefault="006B7CBB">
            <w:pPr>
              <w:pStyle w:val="TableText"/>
              <w:jc w:val="center"/>
              <w:rPr>
                <w:rFonts w:cs="Times New Roman"/>
              </w:rPr>
            </w:pPr>
          </w:p>
        </w:tc>
        <w:tc>
          <w:tcPr>
            <w:tcW w:w="1134" w:type="dxa"/>
            <w:tcBorders>
              <w:top w:val="single" w:sz="4" w:space="0" w:color="auto"/>
              <w:left w:val="single" w:sz="4" w:space="0" w:color="auto"/>
              <w:bottom w:val="single" w:sz="4" w:space="0" w:color="auto"/>
              <w:right w:val="single" w:sz="4" w:space="0" w:color="auto"/>
            </w:tcBorders>
          </w:tcPr>
          <w:p w14:paraId="28DB9664" w14:textId="77777777" w:rsidR="006B7CBB" w:rsidRDefault="006B7CBB">
            <w:pPr>
              <w:pStyle w:val="TableText"/>
              <w:jc w:val="center"/>
              <w:rPr>
                <w:rFonts w:cs="Times New Roman"/>
              </w:rPr>
            </w:pPr>
          </w:p>
        </w:tc>
        <w:tc>
          <w:tcPr>
            <w:tcW w:w="1134" w:type="dxa"/>
            <w:tcBorders>
              <w:top w:val="single" w:sz="4" w:space="0" w:color="auto"/>
              <w:left w:val="single" w:sz="4" w:space="0" w:color="auto"/>
              <w:bottom w:val="single" w:sz="4" w:space="0" w:color="auto"/>
              <w:right w:val="single" w:sz="4" w:space="0" w:color="auto"/>
            </w:tcBorders>
          </w:tcPr>
          <w:p w14:paraId="0B2550E0" w14:textId="77777777" w:rsidR="006B7CBB" w:rsidRDefault="006B7CBB">
            <w:pPr>
              <w:pStyle w:val="TableText"/>
              <w:jc w:val="center"/>
              <w:rPr>
                <w:rFonts w:cs="Times New Roman"/>
              </w:rPr>
            </w:pPr>
          </w:p>
        </w:tc>
        <w:tc>
          <w:tcPr>
            <w:tcW w:w="1275" w:type="dxa"/>
            <w:tcBorders>
              <w:top w:val="single" w:sz="4" w:space="0" w:color="auto"/>
              <w:left w:val="single" w:sz="4" w:space="0" w:color="auto"/>
              <w:bottom w:val="single" w:sz="4" w:space="0" w:color="auto"/>
              <w:right w:val="single" w:sz="4" w:space="0" w:color="auto"/>
            </w:tcBorders>
          </w:tcPr>
          <w:p w14:paraId="319C4CFC" w14:textId="77777777" w:rsidR="006B7CBB" w:rsidRDefault="006B7CBB">
            <w:pPr>
              <w:pStyle w:val="TableText"/>
              <w:jc w:val="center"/>
              <w:rPr>
                <w:rFonts w:cs="Times New Roman"/>
              </w:rPr>
            </w:pPr>
          </w:p>
        </w:tc>
        <w:tc>
          <w:tcPr>
            <w:tcW w:w="1276" w:type="dxa"/>
            <w:tcBorders>
              <w:top w:val="single" w:sz="4" w:space="0" w:color="auto"/>
              <w:left w:val="single" w:sz="4" w:space="0" w:color="auto"/>
              <w:bottom w:val="single" w:sz="4" w:space="0" w:color="auto"/>
              <w:right w:val="single" w:sz="4" w:space="0" w:color="auto"/>
            </w:tcBorders>
          </w:tcPr>
          <w:p w14:paraId="54422E72" w14:textId="77777777" w:rsidR="006B7CBB" w:rsidRDefault="006B7CBB">
            <w:pPr>
              <w:pStyle w:val="TableText"/>
              <w:rPr>
                <w:rFonts w:cs="Times New Roman"/>
              </w:rPr>
            </w:pPr>
          </w:p>
        </w:tc>
      </w:tr>
      <w:tr w:rsidR="006B7CBB" w14:paraId="3DAD84AE" w14:textId="77777777" w:rsidTr="00E90E54">
        <w:tc>
          <w:tcPr>
            <w:tcW w:w="1020" w:type="dxa"/>
            <w:tcBorders>
              <w:top w:val="single" w:sz="4" w:space="0" w:color="auto"/>
              <w:left w:val="single" w:sz="4" w:space="0" w:color="auto"/>
              <w:bottom w:val="single" w:sz="4" w:space="0" w:color="auto"/>
              <w:right w:val="single" w:sz="4" w:space="0" w:color="auto"/>
            </w:tcBorders>
          </w:tcPr>
          <w:p w14:paraId="3DE64E91" w14:textId="77777777" w:rsidR="006B7CBB" w:rsidRDefault="006B7CBB">
            <w:pPr>
              <w:pStyle w:val="TableText"/>
              <w:rPr>
                <w:rFonts w:cs="Times New Roman"/>
              </w:rPr>
            </w:pPr>
          </w:p>
        </w:tc>
        <w:tc>
          <w:tcPr>
            <w:tcW w:w="2094" w:type="dxa"/>
            <w:tcBorders>
              <w:top w:val="single" w:sz="4" w:space="0" w:color="auto"/>
              <w:left w:val="single" w:sz="4" w:space="0" w:color="auto"/>
              <w:bottom w:val="single" w:sz="4" w:space="0" w:color="auto"/>
              <w:right w:val="single" w:sz="4" w:space="0" w:color="auto"/>
            </w:tcBorders>
          </w:tcPr>
          <w:p w14:paraId="4760F4EE" w14:textId="77777777" w:rsidR="006B7CBB" w:rsidRDefault="006B7CBB">
            <w:pPr>
              <w:pStyle w:val="TableText"/>
              <w:rPr>
                <w:rFonts w:cs="Times New Roman"/>
              </w:rPr>
            </w:pPr>
          </w:p>
        </w:tc>
        <w:tc>
          <w:tcPr>
            <w:tcW w:w="1276" w:type="dxa"/>
            <w:tcBorders>
              <w:top w:val="single" w:sz="4" w:space="0" w:color="auto"/>
              <w:left w:val="single" w:sz="4" w:space="0" w:color="auto"/>
              <w:bottom w:val="single" w:sz="4" w:space="0" w:color="auto"/>
              <w:right w:val="single" w:sz="4" w:space="0" w:color="auto"/>
            </w:tcBorders>
          </w:tcPr>
          <w:p w14:paraId="6DA129A5" w14:textId="77777777" w:rsidR="006B7CBB" w:rsidRDefault="006B7CBB">
            <w:pPr>
              <w:pStyle w:val="TableText"/>
              <w:jc w:val="center"/>
              <w:rPr>
                <w:rFonts w:cs="Times New Roman"/>
              </w:rPr>
            </w:pPr>
          </w:p>
        </w:tc>
        <w:tc>
          <w:tcPr>
            <w:tcW w:w="1134" w:type="dxa"/>
            <w:tcBorders>
              <w:top w:val="single" w:sz="4" w:space="0" w:color="auto"/>
              <w:left w:val="single" w:sz="4" w:space="0" w:color="auto"/>
              <w:bottom w:val="single" w:sz="4" w:space="0" w:color="auto"/>
              <w:right w:val="single" w:sz="4" w:space="0" w:color="auto"/>
            </w:tcBorders>
          </w:tcPr>
          <w:p w14:paraId="5AC7A151" w14:textId="77777777" w:rsidR="006B7CBB" w:rsidRDefault="006B7CBB">
            <w:pPr>
              <w:pStyle w:val="TableText"/>
              <w:jc w:val="center"/>
              <w:rPr>
                <w:rFonts w:cs="Times New Roman"/>
              </w:rPr>
            </w:pPr>
          </w:p>
        </w:tc>
        <w:tc>
          <w:tcPr>
            <w:tcW w:w="1134" w:type="dxa"/>
            <w:tcBorders>
              <w:top w:val="single" w:sz="4" w:space="0" w:color="auto"/>
              <w:left w:val="single" w:sz="4" w:space="0" w:color="auto"/>
              <w:bottom w:val="single" w:sz="4" w:space="0" w:color="auto"/>
              <w:right w:val="single" w:sz="4" w:space="0" w:color="auto"/>
            </w:tcBorders>
          </w:tcPr>
          <w:p w14:paraId="37847C5D" w14:textId="77777777" w:rsidR="006B7CBB" w:rsidRDefault="006B7CBB">
            <w:pPr>
              <w:pStyle w:val="TableText"/>
              <w:jc w:val="center"/>
              <w:rPr>
                <w:rFonts w:cs="Times New Roman"/>
              </w:rPr>
            </w:pPr>
          </w:p>
        </w:tc>
        <w:tc>
          <w:tcPr>
            <w:tcW w:w="1275" w:type="dxa"/>
            <w:tcBorders>
              <w:top w:val="single" w:sz="4" w:space="0" w:color="auto"/>
              <w:left w:val="single" w:sz="4" w:space="0" w:color="auto"/>
              <w:bottom w:val="single" w:sz="4" w:space="0" w:color="auto"/>
              <w:right w:val="single" w:sz="4" w:space="0" w:color="auto"/>
            </w:tcBorders>
          </w:tcPr>
          <w:p w14:paraId="70A3D0C0" w14:textId="77777777" w:rsidR="006B7CBB" w:rsidRDefault="006B7CBB">
            <w:pPr>
              <w:pStyle w:val="TableText"/>
              <w:jc w:val="center"/>
              <w:rPr>
                <w:rFonts w:cs="Times New Roman"/>
              </w:rPr>
            </w:pPr>
          </w:p>
        </w:tc>
        <w:tc>
          <w:tcPr>
            <w:tcW w:w="1276" w:type="dxa"/>
            <w:tcBorders>
              <w:top w:val="single" w:sz="4" w:space="0" w:color="auto"/>
              <w:left w:val="single" w:sz="4" w:space="0" w:color="auto"/>
              <w:bottom w:val="single" w:sz="4" w:space="0" w:color="auto"/>
              <w:right w:val="single" w:sz="4" w:space="0" w:color="auto"/>
            </w:tcBorders>
          </w:tcPr>
          <w:p w14:paraId="578C5534" w14:textId="77777777" w:rsidR="006B7CBB" w:rsidRDefault="006B7CBB">
            <w:pPr>
              <w:pStyle w:val="TableText"/>
              <w:rPr>
                <w:rFonts w:cs="Times New Roman"/>
              </w:rPr>
            </w:pPr>
          </w:p>
        </w:tc>
      </w:tr>
      <w:tr w:rsidR="006B7CBB" w14:paraId="6EF01602" w14:textId="77777777" w:rsidTr="00E90E54">
        <w:tc>
          <w:tcPr>
            <w:tcW w:w="1020" w:type="dxa"/>
            <w:tcBorders>
              <w:top w:val="single" w:sz="4" w:space="0" w:color="auto"/>
              <w:left w:val="single" w:sz="4" w:space="0" w:color="auto"/>
              <w:bottom w:val="single" w:sz="4" w:space="0" w:color="auto"/>
              <w:right w:val="single" w:sz="4" w:space="0" w:color="auto"/>
            </w:tcBorders>
          </w:tcPr>
          <w:p w14:paraId="44C7EA6B" w14:textId="77777777" w:rsidR="006B7CBB" w:rsidRDefault="006B7CBB">
            <w:pPr>
              <w:pStyle w:val="TableText"/>
              <w:rPr>
                <w:rFonts w:cs="Times New Roman"/>
              </w:rPr>
            </w:pPr>
          </w:p>
        </w:tc>
        <w:tc>
          <w:tcPr>
            <w:tcW w:w="2094" w:type="dxa"/>
            <w:tcBorders>
              <w:top w:val="single" w:sz="4" w:space="0" w:color="auto"/>
              <w:left w:val="single" w:sz="4" w:space="0" w:color="auto"/>
              <w:bottom w:val="single" w:sz="4" w:space="0" w:color="auto"/>
              <w:right w:val="single" w:sz="4" w:space="0" w:color="auto"/>
            </w:tcBorders>
          </w:tcPr>
          <w:p w14:paraId="4478D13B" w14:textId="77777777" w:rsidR="006B7CBB" w:rsidRDefault="006B7CBB">
            <w:pPr>
              <w:pStyle w:val="TableText"/>
              <w:rPr>
                <w:rFonts w:cs="Times New Roman"/>
              </w:rPr>
            </w:pPr>
          </w:p>
        </w:tc>
        <w:tc>
          <w:tcPr>
            <w:tcW w:w="1276" w:type="dxa"/>
            <w:tcBorders>
              <w:top w:val="single" w:sz="4" w:space="0" w:color="auto"/>
              <w:left w:val="single" w:sz="4" w:space="0" w:color="auto"/>
              <w:bottom w:val="single" w:sz="4" w:space="0" w:color="auto"/>
              <w:right w:val="single" w:sz="4" w:space="0" w:color="auto"/>
            </w:tcBorders>
          </w:tcPr>
          <w:p w14:paraId="69FF8D69" w14:textId="77777777" w:rsidR="006B7CBB" w:rsidRDefault="006B7CBB">
            <w:pPr>
              <w:pStyle w:val="TableText"/>
              <w:jc w:val="center"/>
              <w:rPr>
                <w:rFonts w:cs="Times New Roman"/>
              </w:rPr>
            </w:pPr>
          </w:p>
        </w:tc>
        <w:tc>
          <w:tcPr>
            <w:tcW w:w="1134" w:type="dxa"/>
            <w:tcBorders>
              <w:top w:val="single" w:sz="4" w:space="0" w:color="auto"/>
              <w:left w:val="single" w:sz="4" w:space="0" w:color="auto"/>
              <w:bottom w:val="single" w:sz="4" w:space="0" w:color="auto"/>
              <w:right w:val="single" w:sz="4" w:space="0" w:color="auto"/>
            </w:tcBorders>
          </w:tcPr>
          <w:p w14:paraId="0BE0F234" w14:textId="77777777" w:rsidR="006B7CBB" w:rsidRDefault="006B7CBB">
            <w:pPr>
              <w:pStyle w:val="TableText"/>
              <w:jc w:val="center"/>
              <w:rPr>
                <w:rFonts w:cs="Times New Roman"/>
              </w:rPr>
            </w:pPr>
          </w:p>
        </w:tc>
        <w:tc>
          <w:tcPr>
            <w:tcW w:w="1134" w:type="dxa"/>
            <w:tcBorders>
              <w:top w:val="single" w:sz="4" w:space="0" w:color="auto"/>
              <w:left w:val="single" w:sz="4" w:space="0" w:color="auto"/>
              <w:bottom w:val="single" w:sz="4" w:space="0" w:color="auto"/>
              <w:right w:val="single" w:sz="4" w:space="0" w:color="auto"/>
            </w:tcBorders>
          </w:tcPr>
          <w:p w14:paraId="4FB86E6F" w14:textId="77777777" w:rsidR="006B7CBB" w:rsidRDefault="006B7CBB">
            <w:pPr>
              <w:pStyle w:val="TableText"/>
              <w:jc w:val="center"/>
              <w:rPr>
                <w:rFonts w:cs="Times New Roman"/>
              </w:rPr>
            </w:pPr>
          </w:p>
        </w:tc>
        <w:tc>
          <w:tcPr>
            <w:tcW w:w="1275" w:type="dxa"/>
            <w:tcBorders>
              <w:top w:val="single" w:sz="4" w:space="0" w:color="auto"/>
              <w:left w:val="single" w:sz="4" w:space="0" w:color="auto"/>
              <w:bottom w:val="single" w:sz="4" w:space="0" w:color="auto"/>
              <w:right w:val="single" w:sz="4" w:space="0" w:color="auto"/>
            </w:tcBorders>
          </w:tcPr>
          <w:p w14:paraId="71718558" w14:textId="77777777" w:rsidR="006B7CBB" w:rsidRDefault="006B7CBB">
            <w:pPr>
              <w:pStyle w:val="TableText"/>
              <w:jc w:val="center"/>
              <w:rPr>
                <w:rFonts w:cs="Times New Roman"/>
              </w:rPr>
            </w:pPr>
          </w:p>
        </w:tc>
        <w:tc>
          <w:tcPr>
            <w:tcW w:w="1276" w:type="dxa"/>
            <w:tcBorders>
              <w:top w:val="single" w:sz="4" w:space="0" w:color="auto"/>
              <w:left w:val="single" w:sz="4" w:space="0" w:color="auto"/>
              <w:bottom w:val="single" w:sz="4" w:space="0" w:color="auto"/>
              <w:right w:val="single" w:sz="4" w:space="0" w:color="auto"/>
            </w:tcBorders>
          </w:tcPr>
          <w:p w14:paraId="2B1565D3" w14:textId="77777777" w:rsidR="006B7CBB" w:rsidRDefault="006B7CBB">
            <w:pPr>
              <w:pStyle w:val="TableText"/>
              <w:rPr>
                <w:rFonts w:cs="Times New Roman"/>
              </w:rPr>
            </w:pPr>
          </w:p>
        </w:tc>
      </w:tr>
      <w:tr w:rsidR="006B7CBB" w14:paraId="3CB5498A" w14:textId="77777777" w:rsidTr="00E90E54">
        <w:tc>
          <w:tcPr>
            <w:tcW w:w="1020" w:type="dxa"/>
            <w:tcBorders>
              <w:top w:val="single" w:sz="4" w:space="0" w:color="auto"/>
              <w:left w:val="single" w:sz="4" w:space="0" w:color="auto"/>
              <w:bottom w:val="single" w:sz="4" w:space="0" w:color="auto"/>
              <w:right w:val="single" w:sz="4" w:space="0" w:color="auto"/>
            </w:tcBorders>
          </w:tcPr>
          <w:p w14:paraId="0B893A13" w14:textId="77777777" w:rsidR="006B7CBB" w:rsidRDefault="006B7CBB">
            <w:pPr>
              <w:pStyle w:val="TableText"/>
              <w:rPr>
                <w:rFonts w:cs="Times New Roman"/>
              </w:rPr>
            </w:pPr>
          </w:p>
        </w:tc>
        <w:tc>
          <w:tcPr>
            <w:tcW w:w="2094" w:type="dxa"/>
            <w:tcBorders>
              <w:top w:val="single" w:sz="4" w:space="0" w:color="auto"/>
              <w:left w:val="single" w:sz="4" w:space="0" w:color="auto"/>
              <w:bottom w:val="single" w:sz="4" w:space="0" w:color="auto"/>
              <w:right w:val="single" w:sz="4" w:space="0" w:color="auto"/>
            </w:tcBorders>
          </w:tcPr>
          <w:p w14:paraId="2A859B62" w14:textId="77777777" w:rsidR="006B7CBB" w:rsidRDefault="006B7CBB">
            <w:pPr>
              <w:pStyle w:val="TableText"/>
              <w:rPr>
                <w:rFonts w:cs="Times New Roman"/>
              </w:rPr>
            </w:pPr>
          </w:p>
        </w:tc>
        <w:tc>
          <w:tcPr>
            <w:tcW w:w="1276" w:type="dxa"/>
            <w:tcBorders>
              <w:top w:val="single" w:sz="4" w:space="0" w:color="auto"/>
              <w:left w:val="single" w:sz="4" w:space="0" w:color="auto"/>
              <w:bottom w:val="single" w:sz="4" w:space="0" w:color="auto"/>
              <w:right w:val="single" w:sz="4" w:space="0" w:color="auto"/>
            </w:tcBorders>
          </w:tcPr>
          <w:p w14:paraId="62A6C615" w14:textId="77777777" w:rsidR="006B7CBB" w:rsidRDefault="006B7CBB">
            <w:pPr>
              <w:pStyle w:val="TableText"/>
              <w:jc w:val="center"/>
              <w:rPr>
                <w:rFonts w:cs="Times New Roman"/>
              </w:rPr>
            </w:pPr>
          </w:p>
        </w:tc>
        <w:tc>
          <w:tcPr>
            <w:tcW w:w="1134" w:type="dxa"/>
            <w:tcBorders>
              <w:top w:val="single" w:sz="4" w:space="0" w:color="auto"/>
              <w:left w:val="single" w:sz="4" w:space="0" w:color="auto"/>
              <w:bottom w:val="single" w:sz="4" w:space="0" w:color="auto"/>
              <w:right w:val="single" w:sz="4" w:space="0" w:color="auto"/>
            </w:tcBorders>
          </w:tcPr>
          <w:p w14:paraId="3309F869" w14:textId="77777777" w:rsidR="006B7CBB" w:rsidRDefault="006B7CBB">
            <w:pPr>
              <w:pStyle w:val="TableText"/>
              <w:jc w:val="center"/>
              <w:rPr>
                <w:rFonts w:cs="Times New Roman"/>
              </w:rPr>
            </w:pPr>
          </w:p>
        </w:tc>
        <w:tc>
          <w:tcPr>
            <w:tcW w:w="1134" w:type="dxa"/>
            <w:tcBorders>
              <w:top w:val="single" w:sz="4" w:space="0" w:color="auto"/>
              <w:left w:val="single" w:sz="4" w:space="0" w:color="auto"/>
              <w:bottom w:val="single" w:sz="4" w:space="0" w:color="auto"/>
              <w:right w:val="single" w:sz="4" w:space="0" w:color="auto"/>
            </w:tcBorders>
          </w:tcPr>
          <w:p w14:paraId="208B9363" w14:textId="77777777" w:rsidR="006B7CBB" w:rsidRDefault="006B7CBB">
            <w:pPr>
              <w:pStyle w:val="TableText"/>
              <w:jc w:val="center"/>
              <w:rPr>
                <w:rFonts w:cs="Times New Roman"/>
              </w:rPr>
            </w:pPr>
          </w:p>
        </w:tc>
        <w:tc>
          <w:tcPr>
            <w:tcW w:w="1275" w:type="dxa"/>
            <w:tcBorders>
              <w:top w:val="single" w:sz="4" w:space="0" w:color="auto"/>
              <w:left w:val="single" w:sz="4" w:space="0" w:color="auto"/>
              <w:bottom w:val="single" w:sz="4" w:space="0" w:color="auto"/>
              <w:right w:val="single" w:sz="4" w:space="0" w:color="auto"/>
            </w:tcBorders>
          </w:tcPr>
          <w:p w14:paraId="25A1FC22" w14:textId="77777777" w:rsidR="006B7CBB" w:rsidRDefault="006B7CBB">
            <w:pPr>
              <w:pStyle w:val="TableText"/>
              <w:jc w:val="center"/>
              <w:rPr>
                <w:rFonts w:cs="Times New Roman"/>
              </w:rPr>
            </w:pPr>
          </w:p>
        </w:tc>
        <w:tc>
          <w:tcPr>
            <w:tcW w:w="1276" w:type="dxa"/>
            <w:tcBorders>
              <w:top w:val="single" w:sz="4" w:space="0" w:color="auto"/>
              <w:left w:val="single" w:sz="4" w:space="0" w:color="auto"/>
              <w:bottom w:val="single" w:sz="4" w:space="0" w:color="auto"/>
              <w:right w:val="single" w:sz="4" w:space="0" w:color="auto"/>
            </w:tcBorders>
          </w:tcPr>
          <w:p w14:paraId="52525C8C" w14:textId="77777777" w:rsidR="006B7CBB" w:rsidRDefault="006B7CBB">
            <w:pPr>
              <w:pStyle w:val="TableText"/>
              <w:rPr>
                <w:rFonts w:cs="Times New Roman"/>
              </w:rPr>
            </w:pPr>
          </w:p>
        </w:tc>
      </w:tr>
      <w:tr w:rsidR="006B7CBB" w14:paraId="70AF4903" w14:textId="77777777" w:rsidTr="00E90E54">
        <w:tc>
          <w:tcPr>
            <w:tcW w:w="1020" w:type="dxa"/>
            <w:tcBorders>
              <w:top w:val="single" w:sz="4" w:space="0" w:color="auto"/>
              <w:left w:val="single" w:sz="4" w:space="0" w:color="auto"/>
              <w:bottom w:val="single" w:sz="4" w:space="0" w:color="auto"/>
              <w:right w:val="single" w:sz="4" w:space="0" w:color="auto"/>
            </w:tcBorders>
          </w:tcPr>
          <w:p w14:paraId="11D31571" w14:textId="77777777" w:rsidR="006B7CBB" w:rsidRDefault="006B7CBB">
            <w:pPr>
              <w:pStyle w:val="TableText"/>
              <w:rPr>
                <w:rFonts w:cs="Times New Roman"/>
              </w:rPr>
            </w:pPr>
          </w:p>
        </w:tc>
        <w:tc>
          <w:tcPr>
            <w:tcW w:w="2094" w:type="dxa"/>
            <w:tcBorders>
              <w:top w:val="single" w:sz="4" w:space="0" w:color="auto"/>
              <w:left w:val="single" w:sz="4" w:space="0" w:color="auto"/>
              <w:bottom w:val="single" w:sz="4" w:space="0" w:color="auto"/>
              <w:right w:val="single" w:sz="4" w:space="0" w:color="auto"/>
            </w:tcBorders>
          </w:tcPr>
          <w:p w14:paraId="69EA4F83" w14:textId="77777777" w:rsidR="006B7CBB" w:rsidRDefault="006B7CBB">
            <w:pPr>
              <w:pStyle w:val="TableText"/>
              <w:rPr>
                <w:rFonts w:cs="Times New Roman"/>
              </w:rPr>
            </w:pPr>
          </w:p>
        </w:tc>
        <w:tc>
          <w:tcPr>
            <w:tcW w:w="1276" w:type="dxa"/>
            <w:tcBorders>
              <w:top w:val="single" w:sz="4" w:space="0" w:color="auto"/>
              <w:left w:val="single" w:sz="4" w:space="0" w:color="auto"/>
              <w:bottom w:val="single" w:sz="4" w:space="0" w:color="auto"/>
              <w:right w:val="single" w:sz="4" w:space="0" w:color="auto"/>
            </w:tcBorders>
          </w:tcPr>
          <w:p w14:paraId="5CF94F05" w14:textId="77777777" w:rsidR="006B7CBB" w:rsidRDefault="006B7CBB">
            <w:pPr>
              <w:pStyle w:val="TableText"/>
              <w:jc w:val="center"/>
              <w:rPr>
                <w:rFonts w:cs="Times New Roman"/>
              </w:rPr>
            </w:pPr>
          </w:p>
        </w:tc>
        <w:tc>
          <w:tcPr>
            <w:tcW w:w="1134" w:type="dxa"/>
            <w:tcBorders>
              <w:top w:val="single" w:sz="4" w:space="0" w:color="auto"/>
              <w:left w:val="single" w:sz="4" w:space="0" w:color="auto"/>
              <w:bottom w:val="single" w:sz="4" w:space="0" w:color="auto"/>
              <w:right w:val="single" w:sz="4" w:space="0" w:color="auto"/>
            </w:tcBorders>
          </w:tcPr>
          <w:p w14:paraId="63596B60" w14:textId="77777777" w:rsidR="006B7CBB" w:rsidRDefault="006B7CBB">
            <w:pPr>
              <w:pStyle w:val="TableText"/>
              <w:jc w:val="center"/>
              <w:rPr>
                <w:rFonts w:cs="Times New Roman"/>
              </w:rPr>
            </w:pPr>
          </w:p>
        </w:tc>
        <w:tc>
          <w:tcPr>
            <w:tcW w:w="1134" w:type="dxa"/>
            <w:tcBorders>
              <w:top w:val="single" w:sz="4" w:space="0" w:color="auto"/>
              <w:left w:val="single" w:sz="4" w:space="0" w:color="auto"/>
              <w:bottom w:val="single" w:sz="4" w:space="0" w:color="auto"/>
              <w:right w:val="single" w:sz="4" w:space="0" w:color="auto"/>
            </w:tcBorders>
          </w:tcPr>
          <w:p w14:paraId="787925AD" w14:textId="77777777" w:rsidR="006B7CBB" w:rsidRDefault="006B7CBB">
            <w:pPr>
              <w:pStyle w:val="TableText"/>
              <w:jc w:val="center"/>
              <w:rPr>
                <w:rFonts w:cs="Times New Roman"/>
              </w:rPr>
            </w:pPr>
          </w:p>
        </w:tc>
        <w:tc>
          <w:tcPr>
            <w:tcW w:w="1275" w:type="dxa"/>
            <w:tcBorders>
              <w:top w:val="single" w:sz="4" w:space="0" w:color="auto"/>
              <w:left w:val="single" w:sz="4" w:space="0" w:color="auto"/>
              <w:bottom w:val="single" w:sz="4" w:space="0" w:color="auto"/>
              <w:right w:val="single" w:sz="4" w:space="0" w:color="auto"/>
            </w:tcBorders>
          </w:tcPr>
          <w:p w14:paraId="5AA75BF3" w14:textId="77777777" w:rsidR="006B7CBB" w:rsidRDefault="006B7CBB">
            <w:pPr>
              <w:pStyle w:val="TableText"/>
              <w:jc w:val="center"/>
              <w:rPr>
                <w:rFonts w:cs="Times New Roman"/>
              </w:rPr>
            </w:pPr>
          </w:p>
        </w:tc>
        <w:tc>
          <w:tcPr>
            <w:tcW w:w="1276" w:type="dxa"/>
            <w:tcBorders>
              <w:top w:val="single" w:sz="4" w:space="0" w:color="auto"/>
              <w:left w:val="single" w:sz="4" w:space="0" w:color="auto"/>
              <w:bottom w:val="single" w:sz="4" w:space="0" w:color="auto"/>
              <w:right w:val="single" w:sz="4" w:space="0" w:color="auto"/>
            </w:tcBorders>
          </w:tcPr>
          <w:p w14:paraId="617F6E17" w14:textId="77777777" w:rsidR="006B7CBB" w:rsidRDefault="006B7CBB">
            <w:pPr>
              <w:pStyle w:val="TableText"/>
              <w:rPr>
                <w:rFonts w:cs="Times New Roman"/>
              </w:rPr>
            </w:pPr>
          </w:p>
        </w:tc>
      </w:tr>
      <w:tr w:rsidR="006B7CBB" w14:paraId="3E26D969" w14:textId="77777777" w:rsidTr="00E90E54">
        <w:tc>
          <w:tcPr>
            <w:tcW w:w="1020" w:type="dxa"/>
            <w:tcBorders>
              <w:top w:val="single" w:sz="4" w:space="0" w:color="auto"/>
              <w:left w:val="single" w:sz="4" w:space="0" w:color="auto"/>
              <w:bottom w:val="single" w:sz="4" w:space="0" w:color="auto"/>
              <w:right w:val="single" w:sz="4" w:space="0" w:color="auto"/>
            </w:tcBorders>
          </w:tcPr>
          <w:p w14:paraId="0F90DE12" w14:textId="77777777" w:rsidR="006B7CBB" w:rsidRDefault="006B7CBB">
            <w:pPr>
              <w:pStyle w:val="TableText"/>
              <w:rPr>
                <w:rFonts w:cs="Times New Roman"/>
              </w:rPr>
            </w:pPr>
          </w:p>
        </w:tc>
        <w:tc>
          <w:tcPr>
            <w:tcW w:w="2094" w:type="dxa"/>
            <w:tcBorders>
              <w:top w:val="single" w:sz="4" w:space="0" w:color="auto"/>
              <w:left w:val="single" w:sz="4" w:space="0" w:color="auto"/>
              <w:bottom w:val="single" w:sz="4" w:space="0" w:color="auto"/>
              <w:right w:val="single" w:sz="4" w:space="0" w:color="auto"/>
            </w:tcBorders>
          </w:tcPr>
          <w:p w14:paraId="43A41442" w14:textId="77777777" w:rsidR="006B7CBB" w:rsidRDefault="006B7CBB">
            <w:pPr>
              <w:pStyle w:val="TableText"/>
              <w:rPr>
                <w:rFonts w:cs="Times New Roman"/>
              </w:rPr>
            </w:pPr>
          </w:p>
        </w:tc>
        <w:tc>
          <w:tcPr>
            <w:tcW w:w="1276" w:type="dxa"/>
            <w:tcBorders>
              <w:top w:val="single" w:sz="4" w:space="0" w:color="auto"/>
              <w:left w:val="single" w:sz="4" w:space="0" w:color="auto"/>
              <w:bottom w:val="single" w:sz="4" w:space="0" w:color="auto"/>
              <w:right w:val="single" w:sz="4" w:space="0" w:color="auto"/>
            </w:tcBorders>
          </w:tcPr>
          <w:p w14:paraId="08A9F8E7" w14:textId="77777777" w:rsidR="006B7CBB" w:rsidRDefault="006B7CBB">
            <w:pPr>
              <w:pStyle w:val="TableText"/>
              <w:jc w:val="center"/>
              <w:rPr>
                <w:rFonts w:cs="Times New Roman"/>
              </w:rPr>
            </w:pPr>
          </w:p>
        </w:tc>
        <w:tc>
          <w:tcPr>
            <w:tcW w:w="1134" w:type="dxa"/>
            <w:tcBorders>
              <w:top w:val="single" w:sz="4" w:space="0" w:color="auto"/>
              <w:left w:val="single" w:sz="4" w:space="0" w:color="auto"/>
              <w:bottom w:val="single" w:sz="4" w:space="0" w:color="auto"/>
              <w:right w:val="single" w:sz="4" w:space="0" w:color="auto"/>
            </w:tcBorders>
          </w:tcPr>
          <w:p w14:paraId="7BBE6FFC" w14:textId="77777777" w:rsidR="006B7CBB" w:rsidRDefault="006B7CBB">
            <w:pPr>
              <w:pStyle w:val="TableText"/>
              <w:jc w:val="center"/>
              <w:rPr>
                <w:rFonts w:cs="Times New Roman"/>
              </w:rPr>
            </w:pPr>
          </w:p>
        </w:tc>
        <w:tc>
          <w:tcPr>
            <w:tcW w:w="1134" w:type="dxa"/>
            <w:tcBorders>
              <w:top w:val="single" w:sz="4" w:space="0" w:color="auto"/>
              <w:left w:val="single" w:sz="4" w:space="0" w:color="auto"/>
              <w:bottom w:val="single" w:sz="4" w:space="0" w:color="auto"/>
              <w:right w:val="single" w:sz="4" w:space="0" w:color="auto"/>
            </w:tcBorders>
          </w:tcPr>
          <w:p w14:paraId="53DB0DFB" w14:textId="77777777" w:rsidR="006B7CBB" w:rsidRDefault="006B7CBB">
            <w:pPr>
              <w:pStyle w:val="TableText"/>
              <w:jc w:val="center"/>
              <w:rPr>
                <w:rFonts w:cs="Times New Roman"/>
              </w:rPr>
            </w:pPr>
          </w:p>
        </w:tc>
        <w:tc>
          <w:tcPr>
            <w:tcW w:w="1275" w:type="dxa"/>
            <w:tcBorders>
              <w:top w:val="single" w:sz="4" w:space="0" w:color="auto"/>
              <w:left w:val="single" w:sz="4" w:space="0" w:color="auto"/>
              <w:bottom w:val="single" w:sz="4" w:space="0" w:color="auto"/>
              <w:right w:val="single" w:sz="4" w:space="0" w:color="auto"/>
            </w:tcBorders>
          </w:tcPr>
          <w:p w14:paraId="15B444B5" w14:textId="77777777" w:rsidR="006B7CBB" w:rsidRDefault="006B7CBB">
            <w:pPr>
              <w:pStyle w:val="TableText"/>
              <w:jc w:val="center"/>
              <w:rPr>
                <w:rFonts w:cs="Times New Roman"/>
              </w:rPr>
            </w:pPr>
          </w:p>
        </w:tc>
        <w:tc>
          <w:tcPr>
            <w:tcW w:w="1276" w:type="dxa"/>
            <w:tcBorders>
              <w:top w:val="single" w:sz="4" w:space="0" w:color="auto"/>
              <w:left w:val="single" w:sz="4" w:space="0" w:color="auto"/>
              <w:bottom w:val="single" w:sz="4" w:space="0" w:color="auto"/>
              <w:right w:val="single" w:sz="4" w:space="0" w:color="auto"/>
            </w:tcBorders>
          </w:tcPr>
          <w:p w14:paraId="3FBC8428" w14:textId="77777777" w:rsidR="006B7CBB" w:rsidRDefault="006B7CBB">
            <w:pPr>
              <w:pStyle w:val="TableText"/>
              <w:rPr>
                <w:rFonts w:cs="Times New Roman"/>
              </w:rPr>
            </w:pPr>
          </w:p>
        </w:tc>
      </w:tr>
    </w:tbl>
    <w:p w14:paraId="736F53AE" w14:textId="77777777" w:rsidR="006B7CBB" w:rsidRDefault="006B7CBB" w:rsidP="006B7CBB">
      <w:pPr>
        <w:pStyle w:val="BodyText"/>
        <w:rPr>
          <w:rFonts w:ascii="Times" w:hAnsi="Times" w:cs="Times New Roman"/>
          <w:color w:val="000000"/>
          <w:szCs w:val="20"/>
          <w:lang w:eastAsia="ja-JP"/>
        </w:rPr>
      </w:pPr>
    </w:p>
    <w:p w14:paraId="10EA1F71" w14:textId="77777777" w:rsidR="006B7CBB" w:rsidRDefault="006B7CBB" w:rsidP="006B7CBB">
      <w:pPr>
        <w:pStyle w:val="H3NoNumb"/>
      </w:pPr>
      <w:r>
        <w:t>South Tees Site Company Ltd Authorisation Signoff</w:t>
      </w:r>
    </w:p>
    <w:tbl>
      <w:tblPr>
        <w:tblStyle w:val="SNCL"/>
        <w:tblW w:w="509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4"/>
        <w:gridCol w:w="7459"/>
      </w:tblGrid>
      <w:tr w:rsidR="006B7CBB" w14:paraId="10B6D092" w14:textId="77777777" w:rsidTr="00E90E54">
        <w:tc>
          <w:tcPr>
            <w:tcW w:w="1734" w:type="dxa"/>
            <w:tcBorders>
              <w:top w:val="single" w:sz="4" w:space="0" w:color="000000"/>
              <w:left w:val="single" w:sz="4" w:space="0" w:color="000000"/>
              <w:bottom w:val="single" w:sz="4" w:space="0" w:color="000000"/>
              <w:right w:val="single" w:sz="4" w:space="0" w:color="000000"/>
            </w:tcBorders>
            <w:hideMark/>
          </w:tcPr>
          <w:p w14:paraId="00C4F4D1" w14:textId="77777777" w:rsidR="006B7CBB" w:rsidRDefault="006B7CBB">
            <w:pPr>
              <w:pStyle w:val="TableHeading"/>
              <w:rPr>
                <w:color w:val="auto"/>
              </w:rPr>
            </w:pPr>
            <w:r>
              <w:rPr>
                <w:rFonts w:cs="Times New Roman"/>
                <w:color w:val="auto"/>
              </w:rPr>
              <w:t>Name</w:t>
            </w:r>
          </w:p>
        </w:tc>
        <w:tc>
          <w:tcPr>
            <w:tcW w:w="7458" w:type="dxa"/>
            <w:tcBorders>
              <w:top w:val="single" w:sz="4" w:space="0" w:color="000000"/>
              <w:left w:val="single" w:sz="4" w:space="0" w:color="000000"/>
              <w:bottom w:val="single" w:sz="4" w:space="0" w:color="000000"/>
              <w:right w:val="single" w:sz="4" w:space="0" w:color="000000"/>
            </w:tcBorders>
          </w:tcPr>
          <w:p w14:paraId="1EF0A356" w14:textId="77777777" w:rsidR="006B7CBB" w:rsidRDefault="006B7CBB">
            <w:pPr>
              <w:pStyle w:val="TableText"/>
              <w:rPr>
                <w:rFonts w:cs="Times New Roman"/>
              </w:rPr>
            </w:pPr>
          </w:p>
        </w:tc>
      </w:tr>
      <w:tr w:rsidR="006B7CBB" w14:paraId="45AB6627" w14:textId="77777777" w:rsidTr="00E90E54">
        <w:tc>
          <w:tcPr>
            <w:tcW w:w="1734" w:type="dxa"/>
            <w:tcBorders>
              <w:top w:val="single" w:sz="4" w:space="0" w:color="000000"/>
              <w:left w:val="single" w:sz="4" w:space="0" w:color="000000"/>
              <w:bottom w:val="single" w:sz="4" w:space="0" w:color="000000"/>
              <w:right w:val="single" w:sz="4" w:space="0" w:color="000000"/>
            </w:tcBorders>
            <w:hideMark/>
          </w:tcPr>
          <w:p w14:paraId="506C241A" w14:textId="77777777" w:rsidR="006B7CBB" w:rsidRDefault="006B7CBB">
            <w:pPr>
              <w:pStyle w:val="TableHeading"/>
              <w:rPr>
                <w:rFonts w:cs="Times New Roman"/>
                <w:color w:val="auto"/>
              </w:rPr>
            </w:pPr>
            <w:r>
              <w:rPr>
                <w:rFonts w:cs="Times New Roman"/>
                <w:color w:val="auto"/>
              </w:rPr>
              <w:t>Project</w:t>
            </w:r>
          </w:p>
        </w:tc>
        <w:tc>
          <w:tcPr>
            <w:tcW w:w="7458" w:type="dxa"/>
            <w:tcBorders>
              <w:top w:val="single" w:sz="4" w:space="0" w:color="000000"/>
              <w:left w:val="single" w:sz="4" w:space="0" w:color="000000"/>
              <w:bottom w:val="single" w:sz="4" w:space="0" w:color="000000"/>
              <w:right w:val="single" w:sz="4" w:space="0" w:color="000000"/>
            </w:tcBorders>
            <w:hideMark/>
          </w:tcPr>
          <w:p w14:paraId="5FB1DE56" w14:textId="772FE70D" w:rsidR="006B7CBB" w:rsidRDefault="006B7CBB">
            <w:pPr>
              <w:pStyle w:val="BodyText"/>
              <w:rPr>
                <w:rFonts w:cs="Times New Roman"/>
                <w:color w:val="000000"/>
              </w:rPr>
            </w:pPr>
            <w:r>
              <w:rPr>
                <w:rFonts w:cs="Times New Roman"/>
              </w:rPr>
              <w:t>Decontamination Project</w:t>
            </w:r>
            <w:r>
              <w:rPr>
                <w:rFonts w:cs="Times New Roman"/>
              </w:rPr>
              <w:fldChar w:fldCharType="begin"/>
            </w:r>
            <w:r>
              <w:rPr>
                <w:rFonts w:cs="Times New Roman"/>
              </w:rPr>
              <w:instrText xml:space="preserve"> STYLEREF  "Title" </w:instrText>
            </w:r>
            <w:r>
              <w:rPr>
                <w:rFonts w:cs="Times New Roman"/>
              </w:rPr>
              <w:fldChar w:fldCharType="end"/>
            </w:r>
          </w:p>
        </w:tc>
      </w:tr>
      <w:tr w:rsidR="006B7CBB" w14:paraId="45766B53" w14:textId="77777777" w:rsidTr="00E90E54">
        <w:tc>
          <w:tcPr>
            <w:tcW w:w="1734" w:type="dxa"/>
            <w:tcBorders>
              <w:top w:val="single" w:sz="4" w:space="0" w:color="000000"/>
              <w:left w:val="single" w:sz="4" w:space="0" w:color="000000"/>
              <w:bottom w:val="single" w:sz="4" w:space="0" w:color="000000"/>
              <w:right w:val="single" w:sz="4" w:space="0" w:color="000000"/>
            </w:tcBorders>
            <w:hideMark/>
          </w:tcPr>
          <w:p w14:paraId="5B7AC8FF" w14:textId="77777777" w:rsidR="006B7CBB" w:rsidRDefault="006B7CBB">
            <w:pPr>
              <w:pStyle w:val="TableHeading"/>
              <w:rPr>
                <w:rFonts w:cs="Times New Roman"/>
                <w:color w:val="auto"/>
              </w:rPr>
            </w:pPr>
            <w:r>
              <w:rPr>
                <w:rFonts w:cs="Times New Roman"/>
                <w:color w:val="auto"/>
              </w:rPr>
              <w:t>Date</w:t>
            </w:r>
          </w:p>
        </w:tc>
        <w:tc>
          <w:tcPr>
            <w:tcW w:w="7458" w:type="dxa"/>
            <w:tcBorders>
              <w:top w:val="single" w:sz="4" w:space="0" w:color="000000"/>
              <w:left w:val="single" w:sz="4" w:space="0" w:color="000000"/>
              <w:bottom w:val="single" w:sz="4" w:space="0" w:color="000000"/>
              <w:right w:val="single" w:sz="4" w:space="0" w:color="000000"/>
            </w:tcBorders>
            <w:hideMark/>
          </w:tcPr>
          <w:p w14:paraId="107DCEE2" w14:textId="77777777" w:rsidR="006B7CBB" w:rsidRDefault="006B7CBB">
            <w:pPr>
              <w:pStyle w:val="TableText"/>
              <w:rPr>
                <w:rFonts w:cs="Times New Roman"/>
              </w:rPr>
            </w:pPr>
            <w:r>
              <w:rPr>
                <w:rFonts w:cs="Times New Roman"/>
              </w:rPr>
              <w:t xml:space="preserve"> </w:t>
            </w:r>
          </w:p>
        </w:tc>
      </w:tr>
      <w:tr w:rsidR="006B7CBB" w14:paraId="479A4646" w14:textId="77777777" w:rsidTr="00E90E54">
        <w:tc>
          <w:tcPr>
            <w:tcW w:w="1734" w:type="dxa"/>
            <w:tcBorders>
              <w:top w:val="single" w:sz="4" w:space="0" w:color="000000"/>
              <w:left w:val="single" w:sz="4" w:space="0" w:color="000000"/>
              <w:bottom w:val="single" w:sz="4" w:space="0" w:color="000000"/>
              <w:right w:val="single" w:sz="4" w:space="0" w:color="000000"/>
            </w:tcBorders>
          </w:tcPr>
          <w:p w14:paraId="6B0023F8" w14:textId="77777777" w:rsidR="006B7CBB" w:rsidRDefault="006B7CBB">
            <w:pPr>
              <w:pStyle w:val="TableHeading"/>
              <w:rPr>
                <w:rFonts w:cs="Times New Roman"/>
                <w:color w:val="auto"/>
              </w:rPr>
            </w:pPr>
          </w:p>
          <w:p w14:paraId="7F70D29B" w14:textId="77777777" w:rsidR="006B7CBB" w:rsidRDefault="006B7CBB">
            <w:pPr>
              <w:pStyle w:val="TableHeading"/>
              <w:rPr>
                <w:rFonts w:cs="Times New Roman"/>
                <w:color w:val="auto"/>
              </w:rPr>
            </w:pPr>
            <w:r>
              <w:rPr>
                <w:rFonts w:cs="Times New Roman"/>
                <w:color w:val="auto"/>
              </w:rPr>
              <w:t xml:space="preserve">Signature </w:t>
            </w:r>
          </w:p>
        </w:tc>
        <w:tc>
          <w:tcPr>
            <w:tcW w:w="7458" w:type="dxa"/>
            <w:tcBorders>
              <w:top w:val="single" w:sz="4" w:space="0" w:color="000000"/>
              <w:left w:val="single" w:sz="4" w:space="0" w:color="000000"/>
              <w:bottom w:val="single" w:sz="4" w:space="0" w:color="000000"/>
              <w:right w:val="single" w:sz="4" w:space="0" w:color="000000"/>
            </w:tcBorders>
          </w:tcPr>
          <w:p w14:paraId="264C8BB5" w14:textId="77777777" w:rsidR="006B7CBB" w:rsidRDefault="006B7CBB">
            <w:pPr>
              <w:pStyle w:val="TableText"/>
              <w:rPr>
                <w:rFonts w:cs="Times New Roman"/>
              </w:rPr>
            </w:pPr>
          </w:p>
          <w:p w14:paraId="61985AEB" w14:textId="77777777" w:rsidR="006B7CBB" w:rsidRDefault="006B7CBB">
            <w:pPr>
              <w:pStyle w:val="TableText"/>
              <w:rPr>
                <w:rFonts w:cs="Times New Roman"/>
              </w:rPr>
            </w:pPr>
          </w:p>
          <w:p w14:paraId="2CE4E41B" w14:textId="77777777" w:rsidR="006B7CBB" w:rsidRDefault="006B7CBB">
            <w:pPr>
              <w:pStyle w:val="TableText"/>
              <w:rPr>
                <w:rFonts w:cs="Times New Roman"/>
              </w:rPr>
            </w:pPr>
          </w:p>
          <w:p w14:paraId="640FA783" w14:textId="77777777" w:rsidR="006B7CBB" w:rsidRDefault="006B7CBB">
            <w:pPr>
              <w:pStyle w:val="TableText"/>
              <w:rPr>
                <w:rFonts w:cs="Times New Roman"/>
              </w:rPr>
            </w:pPr>
          </w:p>
        </w:tc>
      </w:tr>
    </w:tbl>
    <w:p w14:paraId="0486C4AC" w14:textId="77777777" w:rsidR="006B7CBB" w:rsidRDefault="006B7CBB" w:rsidP="006B7CBB">
      <w:pPr>
        <w:pStyle w:val="BodyText"/>
        <w:rPr>
          <w:rFonts w:ascii="Times" w:hAnsi="Times" w:cs="Times New Roman"/>
          <w:color w:val="000000"/>
          <w:szCs w:val="20"/>
          <w:lang w:eastAsia="ja-JP"/>
        </w:rPr>
      </w:pPr>
    </w:p>
    <w:p w14:paraId="4133BAC6" w14:textId="77777777" w:rsidR="006B7CBB" w:rsidRDefault="006B7CBB" w:rsidP="006B7CBB">
      <w:pPr>
        <w:pStyle w:val="Mainheading"/>
      </w:pPr>
      <w:r>
        <w:rPr>
          <w:b w:val="0"/>
          <w:bCs w:val="0"/>
        </w:rPr>
        <w:br w:type="page"/>
      </w:r>
    </w:p>
    <w:p w14:paraId="7E27A5CB" w14:textId="694AD398" w:rsidR="009868FE" w:rsidRDefault="00BD5987" w:rsidP="009868FE">
      <w:pPr>
        <w:pStyle w:val="H1NoTOC"/>
      </w:pPr>
      <w:r>
        <w:lastRenderedPageBreak/>
        <w:t>Contents</w:t>
      </w:r>
    </w:p>
    <w:p w14:paraId="1CDBA80A" w14:textId="14CC98EF" w:rsidR="001C210A" w:rsidRDefault="00087A04">
      <w:pPr>
        <w:pStyle w:val="TOC1"/>
        <w:tabs>
          <w:tab w:val="left" w:pos="880"/>
          <w:tab w:val="right" w:leader="dot" w:pos="9016"/>
        </w:tabs>
        <w:rPr>
          <w:rFonts w:asciiTheme="minorHAnsi" w:eastAsiaTheme="minorEastAsia" w:hAnsiTheme="minorHAnsi"/>
          <w:noProof/>
          <w:sz w:val="22"/>
          <w:lang w:eastAsia="en-GB"/>
        </w:rPr>
      </w:pPr>
      <w:r>
        <w:fldChar w:fldCharType="begin"/>
      </w:r>
      <w:r>
        <w:instrText xml:space="preserve"> TOC \h \z \t "Heading 1,1,H1 No Numb,1,Appendix,1" </w:instrText>
      </w:r>
      <w:r>
        <w:fldChar w:fldCharType="separate"/>
      </w:r>
      <w:hyperlink w:anchor="_Toc527988009" w:history="1">
        <w:r w:rsidR="001C210A" w:rsidRPr="00112DEC">
          <w:rPr>
            <w:rStyle w:val="Hyperlink"/>
            <w:noProof/>
          </w:rPr>
          <w:t>1.</w:t>
        </w:r>
        <w:r w:rsidR="001C210A">
          <w:rPr>
            <w:rFonts w:asciiTheme="minorHAnsi" w:eastAsiaTheme="minorEastAsia" w:hAnsiTheme="minorHAnsi"/>
            <w:noProof/>
            <w:sz w:val="22"/>
            <w:lang w:eastAsia="en-GB"/>
          </w:rPr>
          <w:tab/>
        </w:r>
        <w:r w:rsidR="001C210A" w:rsidRPr="00112DEC">
          <w:rPr>
            <w:rStyle w:val="Hyperlink"/>
            <w:noProof/>
          </w:rPr>
          <w:t>Project Background</w:t>
        </w:r>
        <w:r w:rsidR="001C210A">
          <w:rPr>
            <w:noProof/>
            <w:webHidden/>
          </w:rPr>
          <w:tab/>
        </w:r>
        <w:r w:rsidR="001C210A">
          <w:rPr>
            <w:noProof/>
            <w:webHidden/>
          </w:rPr>
          <w:fldChar w:fldCharType="begin"/>
        </w:r>
        <w:r w:rsidR="001C210A">
          <w:rPr>
            <w:noProof/>
            <w:webHidden/>
          </w:rPr>
          <w:instrText xml:space="preserve"> PAGEREF _Toc527988009 \h </w:instrText>
        </w:r>
        <w:r w:rsidR="001C210A">
          <w:rPr>
            <w:noProof/>
            <w:webHidden/>
          </w:rPr>
        </w:r>
        <w:r w:rsidR="001C210A">
          <w:rPr>
            <w:noProof/>
            <w:webHidden/>
          </w:rPr>
          <w:fldChar w:fldCharType="separate"/>
        </w:r>
        <w:r w:rsidR="00E90E54">
          <w:rPr>
            <w:noProof/>
            <w:webHidden/>
          </w:rPr>
          <w:t>4</w:t>
        </w:r>
        <w:r w:rsidR="001C210A">
          <w:rPr>
            <w:noProof/>
            <w:webHidden/>
          </w:rPr>
          <w:fldChar w:fldCharType="end"/>
        </w:r>
      </w:hyperlink>
    </w:p>
    <w:p w14:paraId="31CA380A" w14:textId="784F5587" w:rsidR="001C210A" w:rsidRDefault="00E90E54">
      <w:pPr>
        <w:pStyle w:val="TOC1"/>
        <w:tabs>
          <w:tab w:val="left" w:pos="880"/>
          <w:tab w:val="right" w:leader="dot" w:pos="9016"/>
        </w:tabs>
        <w:rPr>
          <w:rFonts w:asciiTheme="minorHAnsi" w:eastAsiaTheme="minorEastAsia" w:hAnsiTheme="minorHAnsi"/>
          <w:noProof/>
          <w:sz w:val="22"/>
          <w:lang w:eastAsia="en-GB"/>
        </w:rPr>
      </w:pPr>
      <w:hyperlink w:anchor="_Toc527988010" w:history="1">
        <w:r w:rsidR="001C210A" w:rsidRPr="00112DEC">
          <w:rPr>
            <w:rStyle w:val="Hyperlink"/>
            <w:noProof/>
          </w:rPr>
          <w:t>2.</w:t>
        </w:r>
        <w:r w:rsidR="001C210A">
          <w:rPr>
            <w:rFonts w:asciiTheme="minorHAnsi" w:eastAsiaTheme="minorEastAsia" w:hAnsiTheme="minorHAnsi"/>
            <w:noProof/>
            <w:sz w:val="22"/>
            <w:lang w:eastAsia="en-GB"/>
          </w:rPr>
          <w:tab/>
        </w:r>
        <w:r w:rsidR="001C210A" w:rsidRPr="00112DEC">
          <w:rPr>
            <w:rStyle w:val="Hyperlink"/>
            <w:noProof/>
          </w:rPr>
          <w:t>Performance Specification</w:t>
        </w:r>
        <w:r w:rsidR="001C210A">
          <w:rPr>
            <w:noProof/>
            <w:webHidden/>
          </w:rPr>
          <w:tab/>
        </w:r>
        <w:r w:rsidR="001C210A">
          <w:rPr>
            <w:noProof/>
            <w:webHidden/>
          </w:rPr>
          <w:fldChar w:fldCharType="begin"/>
        </w:r>
        <w:r w:rsidR="001C210A">
          <w:rPr>
            <w:noProof/>
            <w:webHidden/>
          </w:rPr>
          <w:instrText xml:space="preserve"> PAGEREF _Toc527988010 \h </w:instrText>
        </w:r>
        <w:r w:rsidR="001C210A">
          <w:rPr>
            <w:noProof/>
            <w:webHidden/>
          </w:rPr>
        </w:r>
        <w:r w:rsidR="001C210A">
          <w:rPr>
            <w:noProof/>
            <w:webHidden/>
          </w:rPr>
          <w:fldChar w:fldCharType="separate"/>
        </w:r>
        <w:r>
          <w:rPr>
            <w:noProof/>
            <w:webHidden/>
          </w:rPr>
          <w:t>7</w:t>
        </w:r>
        <w:r w:rsidR="001C210A">
          <w:rPr>
            <w:noProof/>
            <w:webHidden/>
          </w:rPr>
          <w:fldChar w:fldCharType="end"/>
        </w:r>
      </w:hyperlink>
    </w:p>
    <w:p w14:paraId="35D49826" w14:textId="255F85FC" w:rsidR="001C210A" w:rsidRDefault="00E90E54">
      <w:pPr>
        <w:pStyle w:val="TOC1"/>
        <w:tabs>
          <w:tab w:val="left" w:pos="880"/>
          <w:tab w:val="right" w:leader="dot" w:pos="9016"/>
        </w:tabs>
        <w:rPr>
          <w:rFonts w:asciiTheme="minorHAnsi" w:eastAsiaTheme="minorEastAsia" w:hAnsiTheme="minorHAnsi"/>
          <w:noProof/>
          <w:sz w:val="22"/>
          <w:lang w:eastAsia="en-GB"/>
        </w:rPr>
      </w:pPr>
      <w:hyperlink w:anchor="_Toc527988011" w:history="1">
        <w:r w:rsidR="001C210A" w:rsidRPr="00112DEC">
          <w:rPr>
            <w:rStyle w:val="Hyperlink"/>
            <w:noProof/>
          </w:rPr>
          <w:t>3.</w:t>
        </w:r>
        <w:r w:rsidR="001C210A">
          <w:rPr>
            <w:rFonts w:asciiTheme="minorHAnsi" w:eastAsiaTheme="minorEastAsia" w:hAnsiTheme="minorHAnsi"/>
            <w:noProof/>
            <w:sz w:val="22"/>
            <w:lang w:eastAsia="en-GB"/>
          </w:rPr>
          <w:tab/>
        </w:r>
        <w:r w:rsidR="001C210A" w:rsidRPr="00112DEC">
          <w:rPr>
            <w:rStyle w:val="Hyperlink"/>
            <w:noProof/>
          </w:rPr>
          <w:t>Early Contractor Involvement Strategy</w:t>
        </w:r>
        <w:r w:rsidR="001C210A">
          <w:rPr>
            <w:noProof/>
            <w:webHidden/>
          </w:rPr>
          <w:tab/>
        </w:r>
        <w:r w:rsidR="001C210A">
          <w:rPr>
            <w:noProof/>
            <w:webHidden/>
          </w:rPr>
          <w:fldChar w:fldCharType="begin"/>
        </w:r>
        <w:r w:rsidR="001C210A">
          <w:rPr>
            <w:noProof/>
            <w:webHidden/>
          </w:rPr>
          <w:instrText xml:space="preserve"> PAGEREF _Toc527988011 \h </w:instrText>
        </w:r>
        <w:r w:rsidR="001C210A">
          <w:rPr>
            <w:noProof/>
            <w:webHidden/>
          </w:rPr>
        </w:r>
        <w:r w:rsidR="001C210A">
          <w:rPr>
            <w:noProof/>
            <w:webHidden/>
          </w:rPr>
          <w:fldChar w:fldCharType="separate"/>
        </w:r>
        <w:r>
          <w:rPr>
            <w:noProof/>
            <w:webHidden/>
          </w:rPr>
          <w:t>9</w:t>
        </w:r>
        <w:r w:rsidR="001C210A">
          <w:rPr>
            <w:noProof/>
            <w:webHidden/>
          </w:rPr>
          <w:fldChar w:fldCharType="end"/>
        </w:r>
      </w:hyperlink>
    </w:p>
    <w:p w14:paraId="37DDAC58" w14:textId="4EFE8E79" w:rsidR="001C210A" w:rsidRDefault="00E90E54">
      <w:pPr>
        <w:pStyle w:val="TOC1"/>
        <w:tabs>
          <w:tab w:val="left" w:pos="880"/>
          <w:tab w:val="right" w:leader="dot" w:pos="9016"/>
        </w:tabs>
        <w:rPr>
          <w:rFonts w:asciiTheme="minorHAnsi" w:eastAsiaTheme="minorEastAsia" w:hAnsiTheme="minorHAnsi"/>
          <w:noProof/>
          <w:sz w:val="22"/>
          <w:lang w:eastAsia="en-GB"/>
        </w:rPr>
      </w:pPr>
      <w:hyperlink w:anchor="_Toc527988012" w:history="1">
        <w:r w:rsidR="001C210A" w:rsidRPr="00112DEC">
          <w:rPr>
            <w:rStyle w:val="Hyperlink"/>
            <w:noProof/>
          </w:rPr>
          <w:t>4.</w:t>
        </w:r>
        <w:r w:rsidR="001C210A">
          <w:rPr>
            <w:rFonts w:asciiTheme="minorHAnsi" w:eastAsiaTheme="minorEastAsia" w:hAnsiTheme="minorHAnsi"/>
            <w:noProof/>
            <w:sz w:val="22"/>
            <w:lang w:eastAsia="en-GB"/>
          </w:rPr>
          <w:tab/>
        </w:r>
        <w:r w:rsidR="001C210A" w:rsidRPr="00112DEC">
          <w:rPr>
            <w:rStyle w:val="Hyperlink"/>
            <w:noProof/>
          </w:rPr>
          <w:t>Pricing Information / Activity Schedule</w:t>
        </w:r>
        <w:r w:rsidR="001C210A">
          <w:rPr>
            <w:noProof/>
            <w:webHidden/>
          </w:rPr>
          <w:tab/>
        </w:r>
        <w:r w:rsidR="001C210A">
          <w:rPr>
            <w:noProof/>
            <w:webHidden/>
          </w:rPr>
          <w:fldChar w:fldCharType="begin"/>
        </w:r>
        <w:r w:rsidR="001C210A">
          <w:rPr>
            <w:noProof/>
            <w:webHidden/>
          </w:rPr>
          <w:instrText xml:space="preserve"> PAGEREF _Toc527988012 \h </w:instrText>
        </w:r>
        <w:r w:rsidR="001C210A">
          <w:rPr>
            <w:noProof/>
            <w:webHidden/>
          </w:rPr>
        </w:r>
        <w:r w:rsidR="001C210A">
          <w:rPr>
            <w:noProof/>
            <w:webHidden/>
          </w:rPr>
          <w:fldChar w:fldCharType="separate"/>
        </w:r>
        <w:r>
          <w:rPr>
            <w:noProof/>
            <w:webHidden/>
          </w:rPr>
          <w:t>13</w:t>
        </w:r>
        <w:r w:rsidR="001C210A">
          <w:rPr>
            <w:noProof/>
            <w:webHidden/>
          </w:rPr>
          <w:fldChar w:fldCharType="end"/>
        </w:r>
      </w:hyperlink>
    </w:p>
    <w:p w14:paraId="4E296AD5" w14:textId="3826CF62" w:rsidR="001C210A" w:rsidRDefault="00E90E54">
      <w:pPr>
        <w:pStyle w:val="TOC1"/>
        <w:tabs>
          <w:tab w:val="left" w:pos="880"/>
          <w:tab w:val="right" w:leader="dot" w:pos="9016"/>
        </w:tabs>
        <w:rPr>
          <w:rFonts w:asciiTheme="minorHAnsi" w:eastAsiaTheme="minorEastAsia" w:hAnsiTheme="minorHAnsi"/>
          <w:noProof/>
          <w:sz w:val="22"/>
          <w:lang w:eastAsia="en-GB"/>
        </w:rPr>
      </w:pPr>
      <w:hyperlink w:anchor="_Toc527988013" w:history="1">
        <w:r w:rsidR="001C210A" w:rsidRPr="00112DEC">
          <w:rPr>
            <w:rStyle w:val="Hyperlink"/>
            <w:noProof/>
          </w:rPr>
          <w:t>5.</w:t>
        </w:r>
        <w:r w:rsidR="001C210A">
          <w:rPr>
            <w:rFonts w:asciiTheme="minorHAnsi" w:eastAsiaTheme="minorEastAsia" w:hAnsiTheme="minorHAnsi"/>
            <w:noProof/>
            <w:sz w:val="22"/>
            <w:lang w:eastAsia="en-GB"/>
          </w:rPr>
          <w:tab/>
        </w:r>
        <w:r w:rsidR="001C210A" w:rsidRPr="00112DEC">
          <w:rPr>
            <w:rStyle w:val="Hyperlink"/>
            <w:noProof/>
          </w:rPr>
          <w:t>Approvals and Consents</w:t>
        </w:r>
        <w:r w:rsidR="001C210A">
          <w:rPr>
            <w:noProof/>
            <w:webHidden/>
          </w:rPr>
          <w:tab/>
        </w:r>
        <w:r w:rsidR="001C210A">
          <w:rPr>
            <w:noProof/>
            <w:webHidden/>
          </w:rPr>
          <w:fldChar w:fldCharType="begin"/>
        </w:r>
        <w:r w:rsidR="001C210A">
          <w:rPr>
            <w:noProof/>
            <w:webHidden/>
          </w:rPr>
          <w:instrText xml:space="preserve"> PAGEREF _Toc527988013 \h </w:instrText>
        </w:r>
        <w:r w:rsidR="001C210A">
          <w:rPr>
            <w:noProof/>
            <w:webHidden/>
          </w:rPr>
        </w:r>
        <w:r w:rsidR="001C210A">
          <w:rPr>
            <w:noProof/>
            <w:webHidden/>
          </w:rPr>
          <w:fldChar w:fldCharType="separate"/>
        </w:r>
        <w:r>
          <w:rPr>
            <w:noProof/>
            <w:webHidden/>
          </w:rPr>
          <w:t>15</w:t>
        </w:r>
        <w:r w:rsidR="001C210A">
          <w:rPr>
            <w:noProof/>
            <w:webHidden/>
          </w:rPr>
          <w:fldChar w:fldCharType="end"/>
        </w:r>
      </w:hyperlink>
    </w:p>
    <w:p w14:paraId="25F4566E" w14:textId="4AE4F7F6" w:rsidR="001C210A" w:rsidRDefault="00E90E54">
      <w:pPr>
        <w:pStyle w:val="TOC1"/>
        <w:tabs>
          <w:tab w:val="left" w:pos="880"/>
          <w:tab w:val="right" w:leader="dot" w:pos="9016"/>
        </w:tabs>
        <w:rPr>
          <w:rFonts w:asciiTheme="minorHAnsi" w:eastAsiaTheme="minorEastAsia" w:hAnsiTheme="minorHAnsi"/>
          <w:noProof/>
          <w:sz w:val="22"/>
          <w:lang w:eastAsia="en-GB"/>
        </w:rPr>
      </w:pPr>
      <w:hyperlink w:anchor="_Toc527988014" w:history="1">
        <w:r w:rsidR="001C210A" w:rsidRPr="00112DEC">
          <w:rPr>
            <w:rStyle w:val="Hyperlink"/>
            <w:noProof/>
          </w:rPr>
          <w:t>6.</w:t>
        </w:r>
        <w:r w:rsidR="001C210A">
          <w:rPr>
            <w:rFonts w:asciiTheme="minorHAnsi" w:eastAsiaTheme="minorEastAsia" w:hAnsiTheme="minorHAnsi"/>
            <w:noProof/>
            <w:sz w:val="22"/>
            <w:lang w:eastAsia="en-GB"/>
          </w:rPr>
          <w:tab/>
        </w:r>
        <w:r w:rsidR="001C210A" w:rsidRPr="00112DEC">
          <w:rPr>
            <w:rStyle w:val="Hyperlink"/>
            <w:noProof/>
          </w:rPr>
          <w:t>Project Management Strategy</w:t>
        </w:r>
        <w:r w:rsidR="001C210A">
          <w:rPr>
            <w:noProof/>
            <w:webHidden/>
          </w:rPr>
          <w:tab/>
        </w:r>
        <w:r w:rsidR="001C210A">
          <w:rPr>
            <w:noProof/>
            <w:webHidden/>
          </w:rPr>
          <w:fldChar w:fldCharType="begin"/>
        </w:r>
        <w:r w:rsidR="001C210A">
          <w:rPr>
            <w:noProof/>
            <w:webHidden/>
          </w:rPr>
          <w:instrText xml:space="preserve"> PAGEREF _Toc527988014 \h </w:instrText>
        </w:r>
        <w:r w:rsidR="001C210A">
          <w:rPr>
            <w:noProof/>
            <w:webHidden/>
          </w:rPr>
        </w:r>
        <w:r w:rsidR="001C210A">
          <w:rPr>
            <w:noProof/>
            <w:webHidden/>
          </w:rPr>
          <w:fldChar w:fldCharType="separate"/>
        </w:r>
        <w:r>
          <w:rPr>
            <w:noProof/>
            <w:webHidden/>
          </w:rPr>
          <w:t>15</w:t>
        </w:r>
        <w:r w:rsidR="001C210A">
          <w:rPr>
            <w:noProof/>
            <w:webHidden/>
          </w:rPr>
          <w:fldChar w:fldCharType="end"/>
        </w:r>
      </w:hyperlink>
    </w:p>
    <w:p w14:paraId="29A486C4" w14:textId="3CE4C353" w:rsidR="001C210A" w:rsidRDefault="00E90E54">
      <w:pPr>
        <w:pStyle w:val="TOC1"/>
        <w:tabs>
          <w:tab w:val="left" w:pos="880"/>
          <w:tab w:val="right" w:leader="dot" w:pos="9016"/>
        </w:tabs>
        <w:rPr>
          <w:rFonts w:asciiTheme="minorHAnsi" w:eastAsiaTheme="minorEastAsia" w:hAnsiTheme="minorHAnsi"/>
          <w:noProof/>
          <w:sz w:val="22"/>
          <w:lang w:eastAsia="en-GB"/>
        </w:rPr>
      </w:pPr>
      <w:hyperlink w:anchor="_Toc527988015" w:history="1">
        <w:r w:rsidR="001C210A" w:rsidRPr="00112DEC">
          <w:rPr>
            <w:rStyle w:val="Hyperlink"/>
            <w:noProof/>
          </w:rPr>
          <w:t>7.</w:t>
        </w:r>
        <w:r w:rsidR="001C210A">
          <w:rPr>
            <w:rFonts w:asciiTheme="minorHAnsi" w:eastAsiaTheme="minorEastAsia" w:hAnsiTheme="minorHAnsi"/>
            <w:noProof/>
            <w:sz w:val="22"/>
            <w:lang w:eastAsia="en-GB"/>
          </w:rPr>
          <w:tab/>
        </w:r>
        <w:r w:rsidR="001C210A" w:rsidRPr="00112DEC">
          <w:rPr>
            <w:rStyle w:val="Hyperlink"/>
            <w:noProof/>
          </w:rPr>
          <w:t>Compliance with STSC Procedures</w:t>
        </w:r>
        <w:r w:rsidR="001C210A">
          <w:rPr>
            <w:noProof/>
            <w:webHidden/>
          </w:rPr>
          <w:tab/>
        </w:r>
        <w:r w:rsidR="001C210A">
          <w:rPr>
            <w:noProof/>
            <w:webHidden/>
          </w:rPr>
          <w:fldChar w:fldCharType="begin"/>
        </w:r>
        <w:r w:rsidR="001C210A">
          <w:rPr>
            <w:noProof/>
            <w:webHidden/>
          </w:rPr>
          <w:instrText xml:space="preserve"> PAGEREF _Toc527988015 \h </w:instrText>
        </w:r>
        <w:r w:rsidR="001C210A">
          <w:rPr>
            <w:noProof/>
            <w:webHidden/>
          </w:rPr>
        </w:r>
        <w:r w:rsidR="001C210A">
          <w:rPr>
            <w:noProof/>
            <w:webHidden/>
          </w:rPr>
          <w:fldChar w:fldCharType="separate"/>
        </w:r>
        <w:r>
          <w:rPr>
            <w:noProof/>
            <w:webHidden/>
          </w:rPr>
          <w:t>15</w:t>
        </w:r>
        <w:r w:rsidR="001C210A">
          <w:rPr>
            <w:noProof/>
            <w:webHidden/>
          </w:rPr>
          <w:fldChar w:fldCharType="end"/>
        </w:r>
      </w:hyperlink>
    </w:p>
    <w:p w14:paraId="27D2C7A6" w14:textId="35FF2A9C" w:rsidR="001C210A" w:rsidRDefault="00E90E54">
      <w:pPr>
        <w:pStyle w:val="TOC1"/>
        <w:tabs>
          <w:tab w:val="left" w:pos="880"/>
          <w:tab w:val="right" w:leader="dot" w:pos="9016"/>
        </w:tabs>
        <w:rPr>
          <w:rFonts w:asciiTheme="minorHAnsi" w:eastAsiaTheme="minorEastAsia" w:hAnsiTheme="minorHAnsi"/>
          <w:noProof/>
          <w:sz w:val="22"/>
          <w:lang w:eastAsia="en-GB"/>
        </w:rPr>
      </w:pPr>
      <w:hyperlink w:anchor="_Toc527988016" w:history="1">
        <w:r w:rsidR="001C210A" w:rsidRPr="00112DEC">
          <w:rPr>
            <w:rStyle w:val="Hyperlink"/>
            <w:noProof/>
          </w:rPr>
          <w:t>8.</w:t>
        </w:r>
        <w:r w:rsidR="001C210A">
          <w:rPr>
            <w:rFonts w:asciiTheme="minorHAnsi" w:eastAsiaTheme="minorEastAsia" w:hAnsiTheme="minorHAnsi"/>
            <w:noProof/>
            <w:sz w:val="22"/>
            <w:lang w:eastAsia="en-GB"/>
          </w:rPr>
          <w:tab/>
        </w:r>
        <w:r w:rsidR="001C210A" w:rsidRPr="00112DEC">
          <w:rPr>
            <w:rStyle w:val="Hyperlink"/>
            <w:noProof/>
          </w:rPr>
          <w:t>Performance Bond</w:t>
        </w:r>
        <w:r w:rsidR="001C210A">
          <w:rPr>
            <w:noProof/>
            <w:webHidden/>
          </w:rPr>
          <w:tab/>
        </w:r>
        <w:r w:rsidR="001C210A">
          <w:rPr>
            <w:noProof/>
            <w:webHidden/>
          </w:rPr>
          <w:fldChar w:fldCharType="begin"/>
        </w:r>
        <w:r w:rsidR="001C210A">
          <w:rPr>
            <w:noProof/>
            <w:webHidden/>
          </w:rPr>
          <w:instrText xml:space="preserve"> PAGEREF _Toc527988016 \h </w:instrText>
        </w:r>
        <w:r w:rsidR="001C210A">
          <w:rPr>
            <w:noProof/>
            <w:webHidden/>
          </w:rPr>
        </w:r>
        <w:r w:rsidR="001C210A">
          <w:rPr>
            <w:noProof/>
            <w:webHidden/>
          </w:rPr>
          <w:fldChar w:fldCharType="separate"/>
        </w:r>
        <w:r>
          <w:rPr>
            <w:noProof/>
            <w:webHidden/>
          </w:rPr>
          <w:t>15</w:t>
        </w:r>
        <w:r w:rsidR="001C210A">
          <w:rPr>
            <w:noProof/>
            <w:webHidden/>
          </w:rPr>
          <w:fldChar w:fldCharType="end"/>
        </w:r>
      </w:hyperlink>
    </w:p>
    <w:p w14:paraId="5C41F8DB" w14:textId="77186888" w:rsidR="001C210A" w:rsidRDefault="00E90E54">
      <w:pPr>
        <w:pStyle w:val="TOC1"/>
        <w:tabs>
          <w:tab w:val="left" w:pos="880"/>
          <w:tab w:val="right" w:leader="dot" w:pos="9016"/>
        </w:tabs>
        <w:rPr>
          <w:rFonts w:asciiTheme="minorHAnsi" w:eastAsiaTheme="minorEastAsia" w:hAnsiTheme="minorHAnsi"/>
          <w:noProof/>
          <w:sz w:val="22"/>
          <w:lang w:eastAsia="en-GB"/>
        </w:rPr>
      </w:pPr>
      <w:hyperlink w:anchor="_Toc527988017" w:history="1">
        <w:r w:rsidR="001C210A" w:rsidRPr="00112DEC">
          <w:rPr>
            <w:rStyle w:val="Hyperlink"/>
            <w:noProof/>
          </w:rPr>
          <w:t>9.</w:t>
        </w:r>
        <w:r w:rsidR="001C210A">
          <w:rPr>
            <w:rFonts w:asciiTheme="minorHAnsi" w:eastAsiaTheme="minorEastAsia" w:hAnsiTheme="minorHAnsi"/>
            <w:noProof/>
            <w:sz w:val="22"/>
            <w:lang w:eastAsia="en-GB"/>
          </w:rPr>
          <w:tab/>
        </w:r>
        <w:r w:rsidR="001C210A" w:rsidRPr="00112DEC">
          <w:rPr>
            <w:rStyle w:val="Hyperlink"/>
            <w:noProof/>
          </w:rPr>
          <w:t>Further Information for Contractors</w:t>
        </w:r>
        <w:r w:rsidR="001C210A">
          <w:rPr>
            <w:noProof/>
            <w:webHidden/>
          </w:rPr>
          <w:tab/>
        </w:r>
        <w:r w:rsidR="001C210A">
          <w:rPr>
            <w:noProof/>
            <w:webHidden/>
          </w:rPr>
          <w:fldChar w:fldCharType="begin"/>
        </w:r>
        <w:r w:rsidR="001C210A">
          <w:rPr>
            <w:noProof/>
            <w:webHidden/>
          </w:rPr>
          <w:instrText xml:space="preserve"> PAGEREF _Toc527988017 \h </w:instrText>
        </w:r>
        <w:r w:rsidR="001C210A">
          <w:rPr>
            <w:noProof/>
            <w:webHidden/>
          </w:rPr>
        </w:r>
        <w:r w:rsidR="001C210A">
          <w:rPr>
            <w:noProof/>
            <w:webHidden/>
          </w:rPr>
          <w:fldChar w:fldCharType="separate"/>
        </w:r>
        <w:r>
          <w:rPr>
            <w:noProof/>
            <w:webHidden/>
          </w:rPr>
          <w:t>15</w:t>
        </w:r>
        <w:r w:rsidR="001C210A">
          <w:rPr>
            <w:noProof/>
            <w:webHidden/>
          </w:rPr>
          <w:fldChar w:fldCharType="end"/>
        </w:r>
      </w:hyperlink>
    </w:p>
    <w:p w14:paraId="69F4C352" w14:textId="3AF70A33" w:rsidR="001C210A" w:rsidRDefault="00E90E54">
      <w:pPr>
        <w:pStyle w:val="TOC1"/>
        <w:tabs>
          <w:tab w:val="right" w:leader="dot" w:pos="9016"/>
        </w:tabs>
        <w:rPr>
          <w:rFonts w:asciiTheme="minorHAnsi" w:eastAsiaTheme="minorEastAsia" w:hAnsiTheme="minorHAnsi"/>
          <w:noProof/>
          <w:sz w:val="22"/>
          <w:lang w:eastAsia="en-GB"/>
        </w:rPr>
      </w:pPr>
      <w:hyperlink w:anchor="_Toc527988018" w:history="1">
        <w:r w:rsidR="001C210A" w:rsidRPr="00112DEC">
          <w:rPr>
            <w:rStyle w:val="Hyperlink"/>
            <w:noProof/>
          </w:rPr>
          <w:t>Appendices</w:t>
        </w:r>
        <w:r w:rsidR="001C210A">
          <w:rPr>
            <w:noProof/>
            <w:webHidden/>
          </w:rPr>
          <w:tab/>
        </w:r>
        <w:r w:rsidR="001C210A">
          <w:rPr>
            <w:noProof/>
            <w:webHidden/>
          </w:rPr>
          <w:fldChar w:fldCharType="begin"/>
        </w:r>
        <w:r w:rsidR="001C210A">
          <w:rPr>
            <w:noProof/>
            <w:webHidden/>
          </w:rPr>
          <w:instrText xml:space="preserve"> PAGEREF _Toc527988018 \h </w:instrText>
        </w:r>
        <w:r w:rsidR="001C210A">
          <w:rPr>
            <w:noProof/>
            <w:webHidden/>
          </w:rPr>
        </w:r>
        <w:r w:rsidR="001C210A">
          <w:rPr>
            <w:noProof/>
            <w:webHidden/>
          </w:rPr>
          <w:fldChar w:fldCharType="separate"/>
        </w:r>
        <w:r>
          <w:rPr>
            <w:noProof/>
            <w:webHidden/>
          </w:rPr>
          <w:t>16</w:t>
        </w:r>
        <w:r w:rsidR="001C210A">
          <w:rPr>
            <w:noProof/>
            <w:webHidden/>
          </w:rPr>
          <w:fldChar w:fldCharType="end"/>
        </w:r>
      </w:hyperlink>
    </w:p>
    <w:p w14:paraId="6DF611DA" w14:textId="4EF42D00" w:rsidR="001C210A" w:rsidRDefault="00E90E54">
      <w:pPr>
        <w:pStyle w:val="TOC1"/>
        <w:tabs>
          <w:tab w:val="left" w:pos="1320"/>
          <w:tab w:val="right" w:leader="dot" w:pos="9016"/>
        </w:tabs>
        <w:rPr>
          <w:rFonts w:asciiTheme="minorHAnsi" w:eastAsiaTheme="minorEastAsia" w:hAnsiTheme="minorHAnsi"/>
          <w:noProof/>
          <w:sz w:val="22"/>
          <w:lang w:eastAsia="en-GB"/>
        </w:rPr>
      </w:pPr>
      <w:hyperlink w:anchor="_Toc527988019" w:history="1">
        <w:r w:rsidR="001C210A" w:rsidRPr="00112DEC">
          <w:rPr>
            <w:rStyle w:val="Hyperlink"/>
            <w:noProof/>
          </w:rPr>
          <w:t>Appendix 1.</w:t>
        </w:r>
        <w:r w:rsidR="001C210A">
          <w:rPr>
            <w:rFonts w:asciiTheme="minorHAnsi" w:eastAsiaTheme="minorEastAsia" w:hAnsiTheme="minorHAnsi"/>
            <w:noProof/>
            <w:sz w:val="22"/>
            <w:lang w:eastAsia="en-GB"/>
          </w:rPr>
          <w:tab/>
        </w:r>
        <w:r w:rsidR="001C210A" w:rsidRPr="00112DEC">
          <w:rPr>
            <w:rStyle w:val="Hyperlink"/>
            <w:noProof/>
          </w:rPr>
          <w:t>South Bank Coke Ovens</w:t>
        </w:r>
        <w:r w:rsidR="001C210A">
          <w:rPr>
            <w:noProof/>
            <w:webHidden/>
          </w:rPr>
          <w:tab/>
        </w:r>
        <w:r w:rsidR="001C210A">
          <w:rPr>
            <w:noProof/>
            <w:webHidden/>
          </w:rPr>
          <w:fldChar w:fldCharType="begin"/>
        </w:r>
        <w:r w:rsidR="001C210A">
          <w:rPr>
            <w:noProof/>
            <w:webHidden/>
          </w:rPr>
          <w:instrText xml:space="preserve"> PAGEREF _Toc527988019 \h </w:instrText>
        </w:r>
        <w:r w:rsidR="001C210A">
          <w:rPr>
            <w:noProof/>
            <w:webHidden/>
          </w:rPr>
        </w:r>
        <w:r w:rsidR="001C210A">
          <w:rPr>
            <w:noProof/>
            <w:webHidden/>
          </w:rPr>
          <w:fldChar w:fldCharType="separate"/>
        </w:r>
        <w:r>
          <w:rPr>
            <w:noProof/>
            <w:webHidden/>
          </w:rPr>
          <w:t>16</w:t>
        </w:r>
        <w:r w:rsidR="001C210A">
          <w:rPr>
            <w:noProof/>
            <w:webHidden/>
          </w:rPr>
          <w:fldChar w:fldCharType="end"/>
        </w:r>
      </w:hyperlink>
    </w:p>
    <w:p w14:paraId="1417DC12" w14:textId="5DF1B748" w:rsidR="001C210A" w:rsidRDefault="00E90E54">
      <w:pPr>
        <w:pStyle w:val="TOC1"/>
        <w:tabs>
          <w:tab w:val="left" w:pos="1320"/>
          <w:tab w:val="right" w:leader="dot" w:pos="9016"/>
        </w:tabs>
        <w:rPr>
          <w:rFonts w:asciiTheme="minorHAnsi" w:eastAsiaTheme="minorEastAsia" w:hAnsiTheme="minorHAnsi"/>
          <w:noProof/>
          <w:sz w:val="22"/>
          <w:lang w:eastAsia="en-GB"/>
        </w:rPr>
      </w:pPr>
      <w:hyperlink w:anchor="_Toc527988020" w:history="1">
        <w:r w:rsidR="001C210A" w:rsidRPr="00112DEC">
          <w:rPr>
            <w:rStyle w:val="Hyperlink"/>
            <w:noProof/>
          </w:rPr>
          <w:t>Appendix 2.</w:t>
        </w:r>
        <w:r w:rsidR="001C210A">
          <w:rPr>
            <w:rFonts w:asciiTheme="minorHAnsi" w:eastAsiaTheme="minorEastAsia" w:hAnsiTheme="minorHAnsi"/>
            <w:noProof/>
            <w:sz w:val="22"/>
            <w:lang w:eastAsia="en-GB"/>
          </w:rPr>
          <w:tab/>
        </w:r>
        <w:r w:rsidR="001C210A" w:rsidRPr="00112DEC">
          <w:rPr>
            <w:rStyle w:val="Hyperlink"/>
            <w:noProof/>
          </w:rPr>
          <w:t>Coke Ovens Gas Main</w:t>
        </w:r>
        <w:r w:rsidR="001C210A">
          <w:rPr>
            <w:noProof/>
            <w:webHidden/>
          </w:rPr>
          <w:tab/>
        </w:r>
        <w:r w:rsidR="001C210A">
          <w:rPr>
            <w:noProof/>
            <w:webHidden/>
          </w:rPr>
          <w:fldChar w:fldCharType="begin"/>
        </w:r>
        <w:r w:rsidR="001C210A">
          <w:rPr>
            <w:noProof/>
            <w:webHidden/>
          </w:rPr>
          <w:instrText xml:space="preserve"> PAGEREF _Toc527988020 \h </w:instrText>
        </w:r>
        <w:r w:rsidR="001C210A">
          <w:rPr>
            <w:noProof/>
            <w:webHidden/>
          </w:rPr>
        </w:r>
        <w:r w:rsidR="001C210A">
          <w:rPr>
            <w:noProof/>
            <w:webHidden/>
          </w:rPr>
          <w:fldChar w:fldCharType="separate"/>
        </w:r>
        <w:r>
          <w:rPr>
            <w:noProof/>
            <w:webHidden/>
          </w:rPr>
          <w:t>16</w:t>
        </w:r>
        <w:r w:rsidR="001C210A">
          <w:rPr>
            <w:noProof/>
            <w:webHidden/>
          </w:rPr>
          <w:fldChar w:fldCharType="end"/>
        </w:r>
      </w:hyperlink>
    </w:p>
    <w:p w14:paraId="72626C63" w14:textId="0041D808" w:rsidR="001C210A" w:rsidRDefault="00E90E54">
      <w:pPr>
        <w:pStyle w:val="TOC1"/>
        <w:tabs>
          <w:tab w:val="left" w:pos="1320"/>
          <w:tab w:val="right" w:leader="dot" w:pos="9016"/>
        </w:tabs>
        <w:rPr>
          <w:rFonts w:asciiTheme="minorHAnsi" w:eastAsiaTheme="minorEastAsia" w:hAnsiTheme="minorHAnsi"/>
          <w:noProof/>
          <w:sz w:val="22"/>
          <w:lang w:eastAsia="en-GB"/>
        </w:rPr>
      </w:pPr>
      <w:hyperlink w:anchor="_Toc527988021" w:history="1">
        <w:r w:rsidR="001C210A" w:rsidRPr="00112DEC">
          <w:rPr>
            <w:rStyle w:val="Hyperlink"/>
            <w:noProof/>
          </w:rPr>
          <w:t>Appendix 3.</w:t>
        </w:r>
        <w:r w:rsidR="001C210A">
          <w:rPr>
            <w:rFonts w:asciiTheme="minorHAnsi" w:eastAsiaTheme="minorEastAsia" w:hAnsiTheme="minorHAnsi"/>
            <w:noProof/>
            <w:sz w:val="22"/>
            <w:lang w:eastAsia="en-GB"/>
          </w:rPr>
          <w:tab/>
        </w:r>
        <w:r w:rsidR="001C210A" w:rsidRPr="00112DEC">
          <w:rPr>
            <w:rStyle w:val="Hyperlink"/>
            <w:noProof/>
          </w:rPr>
          <w:t>Heavy Fuel Oil</w:t>
        </w:r>
        <w:r w:rsidR="001C210A">
          <w:rPr>
            <w:noProof/>
            <w:webHidden/>
          </w:rPr>
          <w:tab/>
        </w:r>
        <w:r w:rsidR="001C210A">
          <w:rPr>
            <w:noProof/>
            <w:webHidden/>
          </w:rPr>
          <w:fldChar w:fldCharType="begin"/>
        </w:r>
        <w:r w:rsidR="001C210A">
          <w:rPr>
            <w:noProof/>
            <w:webHidden/>
          </w:rPr>
          <w:instrText xml:space="preserve"> PAGEREF _Toc527988021 \h </w:instrText>
        </w:r>
        <w:r w:rsidR="001C210A">
          <w:rPr>
            <w:noProof/>
            <w:webHidden/>
          </w:rPr>
        </w:r>
        <w:r w:rsidR="001C210A">
          <w:rPr>
            <w:noProof/>
            <w:webHidden/>
          </w:rPr>
          <w:fldChar w:fldCharType="separate"/>
        </w:r>
        <w:r>
          <w:rPr>
            <w:noProof/>
            <w:webHidden/>
          </w:rPr>
          <w:t>16</w:t>
        </w:r>
        <w:r w:rsidR="001C210A">
          <w:rPr>
            <w:noProof/>
            <w:webHidden/>
          </w:rPr>
          <w:fldChar w:fldCharType="end"/>
        </w:r>
      </w:hyperlink>
    </w:p>
    <w:p w14:paraId="44E5079A" w14:textId="22464CC3" w:rsidR="001C210A" w:rsidRDefault="00E90E54">
      <w:pPr>
        <w:pStyle w:val="TOC1"/>
        <w:tabs>
          <w:tab w:val="left" w:pos="1320"/>
          <w:tab w:val="right" w:leader="dot" w:pos="9016"/>
        </w:tabs>
        <w:rPr>
          <w:rFonts w:asciiTheme="minorHAnsi" w:eastAsiaTheme="minorEastAsia" w:hAnsiTheme="minorHAnsi"/>
          <w:noProof/>
          <w:sz w:val="22"/>
          <w:lang w:eastAsia="en-GB"/>
        </w:rPr>
      </w:pPr>
      <w:hyperlink w:anchor="_Toc527988022" w:history="1">
        <w:r w:rsidR="001C210A" w:rsidRPr="00112DEC">
          <w:rPr>
            <w:rStyle w:val="Hyperlink"/>
            <w:noProof/>
          </w:rPr>
          <w:t>Appendix 4.</w:t>
        </w:r>
        <w:r w:rsidR="001C210A">
          <w:rPr>
            <w:rFonts w:asciiTheme="minorHAnsi" w:eastAsiaTheme="minorEastAsia" w:hAnsiTheme="minorHAnsi"/>
            <w:noProof/>
            <w:sz w:val="22"/>
            <w:lang w:eastAsia="en-GB"/>
          </w:rPr>
          <w:tab/>
        </w:r>
        <w:r w:rsidR="001C210A" w:rsidRPr="00112DEC">
          <w:rPr>
            <w:rStyle w:val="Hyperlink"/>
            <w:noProof/>
          </w:rPr>
          <w:t>Redcar Coke Ovens</w:t>
        </w:r>
        <w:r w:rsidR="001C210A">
          <w:rPr>
            <w:noProof/>
            <w:webHidden/>
          </w:rPr>
          <w:tab/>
        </w:r>
        <w:r w:rsidR="001C210A">
          <w:rPr>
            <w:noProof/>
            <w:webHidden/>
          </w:rPr>
          <w:fldChar w:fldCharType="begin"/>
        </w:r>
        <w:r w:rsidR="001C210A">
          <w:rPr>
            <w:noProof/>
            <w:webHidden/>
          </w:rPr>
          <w:instrText xml:space="preserve"> PAGEREF _Toc527988022 \h </w:instrText>
        </w:r>
        <w:r w:rsidR="001C210A">
          <w:rPr>
            <w:noProof/>
            <w:webHidden/>
          </w:rPr>
        </w:r>
        <w:r w:rsidR="001C210A">
          <w:rPr>
            <w:noProof/>
            <w:webHidden/>
          </w:rPr>
          <w:fldChar w:fldCharType="separate"/>
        </w:r>
        <w:r>
          <w:rPr>
            <w:noProof/>
            <w:webHidden/>
          </w:rPr>
          <w:t>16</w:t>
        </w:r>
        <w:r w:rsidR="001C210A">
          <w:rPr>
            <w:noProof/>
            <w:webHidden/>
          </w:rPr>
          <w:fldChar w:fldCharType="end"/>
        </w:r>
      </w:hyperlink>
    </w:p>
    <w:p w14:paraId="21617FAE" w14:textId="115DBC25" w:rsidR="001C210A" w:rsidRDefault="00E90E54">
      <w:pPr>
        <w:pStyle w:val="TOC1"/>
        <w:tabs>
          <w:tab w:val="left" w:pos="1320"/>
          <w:tab w:val="right" w:leader="dot" w:pos="9016"/>
        </w:tabs>
        <w:rPr>
          <w:rFonts w:asciiTheme="minorHAnsi" w:eastAsiaTheme="minorEastAsia" w:hAnsiTheme="minorHAnsi"/>
          <w:noProof/>
          <w:sz w:val="22"/>
          <w:lang w:eastAsia="en-GB"/>
        </w:rPr>
      </w:pPr>
      <w:hyperlink w:anchor="_Toc527988023" w:history="1">
        <w:r w:rsidR="001C210A" w:rsidRPr="00112DEC">
          <w:rPr>
            <w:rStyle w:val="Hyperlink"/>
            <w:noProof/>
          </w:rPr>
          <w:t>Appendix 5.</w:t>
        </w:r>
        <w:r w:rsidR="001C210A">
          <w:rPr>
            <w:rFonts w:asciiTheme="minorHAnsi" w:eastAsiaTheme="minorEastAsia" w:hAnsiTheme="minorHAnsi"/>
            <w:noProof/>
            <w:sz w:val="22"/>
            <w:lang w:eastAsia="en-GB"/>
          </w:rPr>
          <w:tab/>
        </w:r>
        <w:r w:rsidR="001C210A" w:rsidRPr="00112DEC">
          <w:rPr>
            <w:rStyle w:val="Hyperlink"/>
            <w:noProof/>
          </w:rPr>
          <w:t>Project Management Strategy</w:t>
        </w:r>
        <w:r w:rsidR="001C210A">
          <w:rPr>
            <w:noProof/>
            <w:webHidden/>
          </w:rPr>
          <w:tab/>
        </w:r>
        <w:r w:rsidR="001C210A">
          <w:rPr>
            <w:noProof/>
            <w:webHidden/>
          </w:rPr>
          <w:fldChar w:fldCharType="begin"/>
        </w:r>
        <w:r w:rsidR="001C210A">
          <w:rPr>
            <w:noProof/>
            <w:webHidden/>
          </w:rPr>
          <w:instrText xml:space="preserve"> PAGEREF _Toc527988023 \h </w:instrText>
        </w:r>
        <w:r w:rsidR="001C210A">
          <w:rPr>
            <w:noProof/>
            <w:webHidden/>
          </w:rPr>
        </w:r>
        <w:r w:rsidR="001C210A">
          <w:rPr>
            <w:noProof/>
            <w:webHidden/>
          </w:rPr>
          <w:fldChar w:fldCharType="separate"/>
        </w:r>
        <w:r>
          <w:rPr>
            <w:noProof/>
            <w:webHidden/>
          </w:rPr>
          <w:t>16</w:t>
        </w:r>
        <w:r w:rsidR="001C210A">
          <w:rPr>
            <w:noProof/>
            <w:webHidden/>
          </w:rPr>
          <w:fldChar w:fldCharType="end"/>
        </w:r>
      </w:hyperlink>
    </w:p>
    <w:p w14:paraId="346BFCCB" w14:textId="56616EA0" w:rsidR="001C210A" w:rsidRDefault="00E90E54">
      <w:pPr>
        <w:pStyle w:val="TOC1"/>
        <w:tabs>
          <w:tab w:val="left" w:pos="1320"/>
          <w:tab w:val="right" w:leader="dot" w:pos="9016"/>
        </w:tabs>
        <w:rPr>
          <w:rFonts w:asciiTheme="minorHAnsi" w:eastAsiaTheme="minorEastAsia" w:hAnsiTheme="minorHAnsi"/>
          <w:noProof/>
          <w:sz w:val="22"/>
          <w:lang w:eastAsia="en-GB"/>
        </w:rPr>
      </w:pPr>
      <w:hyperlink w:anchor="_Toc527988024" w:history="1">
        <w:r w:rsidR="001C210A" w:rsidRPr="00112DEC">
          <w:rPr>
            <w:rStyle w:val="Hyperlink"/>
            <w:noProof/>
          </w:rPr>
          <w:t>Appendix 6.</w:t>
        </w:r>
        <w:r w:rsidR="001C210A">
          <w:rPr>
            <w:rFonts w:asciiTheme="minorHAnsi" w:eastAsiaTheme="minorEastAsia" w:hAnsiTheme="minorHAnsi"/>
            <w:noProof/>
            <w:sz w:val="22"/>
            <w:lang w:eastAsia="en-GB"/>
          </w:rPr>
          <w:tab/>
        </w:r>
        <w:r w:rsidR="001C210A" w:rsidRPr="00112DEC">
          <w:rPr>
            <w:rStyle w:val="Hyperlink"/>
            <w:noProof/>
          </w:rPr>
          <w:t>Compliance with STSC Procedures</w:t>
        </w:r>
        <w:r w:rsidR="001C210A">
          <w:rPr>
            <w:noProof/>
            <w:webHidden/>
          </w:rPr>
          <w:tab/>
        </w:r>
        <w:r w:rsidR="001C210A">
          <w:rPr>
            <w:noProof/>
            <w:webHidden/>
          </w:rPr>
          <w:fldChar w:fldCharType="begin"/>
        </w:r>
        <w:r w:rsidR="001C210A">
          <w:rPr>
            <w:noProof/>
            <w:webHidden/>
          </w:rPr>
          <w:instrText xml:space="preserve"> PAGEREF _Toc527988024 \h </w:instrText>
        </w:r>
        <w:r w:rsidR="001C210A">
          <w:rPr>
            <w:noProof/>
            <w:webHidden/>
          </w:rPr>
        </w:r>
        <w:r w:rsidR="001C210A">
          <w:rPr>
            <w:noProof/>
            <w:webHidden/>
          </w:rPr>
          <w:fldChar w:fldCharType="separate"/>
        </w:r>
        <w:r>
          <w:rPr>
            <w:noProof/>
            <w:webHidden/>
          </w:rPr>
          <w:t>16</w:t>
        </w:r>
        <w:r w:rsidR="001C210A">
          <w:rPr>
            <w:noProof/>
            <w:webHidden/>
          </w:rPr>
          <w:fldChar w:fldCharType="end"/>
        </w:r>
      </w:hyperlink>
    </w:p>
    <w:p w14:paraId="2DCDD5A2" w14:textId="10942719" w:rsidR="001C210A" w:rsidRDefault="00E90E54">
      <w:pPr>
        <w:pStyle w:val="TOC1"/>
        <w:tabs>
          <w:tab w:val="left" w:pos="1320"/>
          <w:tab w:val="right" w:leader="dot" w:pos="9016"/>
        </w:tabs>
        <w:rPr>
          <w:rFonts w:asciiTheme="minorHAnsi" w:eastAsiaTheme="minorEastAsia" w:hAnsiTheme="minorHAnsi"/>
          <w:noProof/>
          <w:sz w:val="22"/>
          <w:lang w:eastAsia="en-GB"/>
        </w:rPr>
      </w:pPr>
      <w:hyperlink w:anchor="_Toc527988025" w:history="1">
        <w:r w:rsidR="001C210A" w:rsidRPr="00112DEC">
          <w:rPr>
            <w:rStyle w:val="Hyperlink"/>
            <w:noProof/>
          </w:rPr>
          <w:t>Appendix 7.</w:t>
        </w:r>
        <w:r w:rsidR="001C210A">
          <w:rPr>
            <w:rFonts w:asciiTheme="minorHAnsi" w:eastAsiaTheme="minorEastAsia" w:hAnsiTheme="minorHAnsi"/>
            <w:noProof/>
            <w:sz w:val="22"/>
            <w:lang w:eastAsia="en-GB"/>
          </w:rPr>
          <w:tab/>
        </w:r>
        <w:r w:rsidR="001C210A" w:rsidRPr="00112DEC">
          <w:rPr>
            <w:rStyle w:val="Hyperlink"/>
            <w:noProof/>
          </w:rPr>
          <w:t>Performance Bond</w:t>
        </w:r>
        <w:r w:rsidR="001C210A">
          <w:rPr>
            <w:noProof/>
            <w:webHidden/>
          </w:rPr>
          <w:tab/>
        </w:r>
        <w:r w:rsidR="001C210A">
          <w:rPr>
            <w:noProof/>
            <w:webHidden/>
          </w:rPr>
          <w:fldChar w:fldCharType="begin"/>
        </w:r>
        <w:r w:rsidR="001C210A">
          <w:rPr>
            <w:noProof/>
            <w:webHidden/>
          </w:rPr>
          <w:instrText xml:space="preserve"> PAGEREF _Toc527988025 \h </w:instrText>
        </w:r>
        <w:r w:rsidR="001C210A">
          <w:rPr>
            <w:noProof/>
            <w:webHidden/>
          </w:rPr>
        </w:r>
        <w:r w:rsidR="001C210A">
          <w:rPr>
            <w:noProof/>
            <w:webHidden/>
          </w:rPr>
          <w:fldChar w:fldCharType="separate"/>
        </w:r>
        <w:r>
          <w:rPr>
            <w:noProof/>
            <w:webHidden/>
          </w:rPr>
          <w:t>16</w:t>
        </w:r>
        <w:r w:rsidR="001C210A">
          <w:rPr>
            <w:noProof/>
            <w:webHidden/>
          </w:rPr>
          <w:fldChar w:fldCharType="end"/>
        </w:r>
      </w:hyperlink>
    </w:p>
    <w:p w14:paraId="36B14C07" w14:textId="0A027F55" w:rsidR="00265486" w:rsidRDefault="00087A04" w:rsidP="00265486">
      <w:pPr>
        <w:pStyle w:val="BodyText"/>
        <w:rPr>
          <w:rFonts w:eastAsia="Times New Roman" w:cs="Times New Roman"/>
          <w:sz w:val="48"/>
          <w:szCs w:val="28"/>
        </w:rPr>
      </w:pPr>
      <w:r>
        <w:fldChar w:fldCharType="end"/>
      </w:r>
      <w:r w:rsidR="00265486">
        <w:br w:type="page"/>
      </w:r>
    </w:p>
    <w:p w14:paraId="5DA2610C" w14:textId="78DC4E35" w:rsidR="00180FCD" w:rsidRDefault="00BF3694" w:rsidP="00180FCD">
      <w:pPr>
        <w:pStyle w:val="Heading1"/>
        <w:numPr>
          <w:ilvl w:val="0"/>
          <w:numId w:val="1"/>
        </w:numPr>
      </w:pPr>
      <w:bookmarkStart w:id="1" w:name="_Toc527988009"/>
      <w:r>
        <w:lastRenderedPageBreak/>
        <w:t>Project Background</w:t>
      </w:r>
      <w:bookmarkEnd w:id="1"/>
    </w:p>
    <w:p w14:paraId="37D123ED" w14:textId="77777777" w:rsidR="008109E8" w:rsidRDefault="008109E8" w:rsidP="003C14E5">
      <w:pPr>
        <w:pStyle w:val="Heading2"/>
        <w:ind w:left="742" w:hanging="742"/>
      </w:pPr>
      <w:r>
        <w:t xml:space="preserve">South Tees Site Company Ltd (STSC) is a Government-owned company set up in December 2016 to maintain the safety and security of the former SSI iron and steel making assets on Teesside pending the progressive redevelopment of the various lands identified for regeneration within the South Tees area by South Tees Development Corporation (STDC). </w:t>
      </w:r>
    </w:p>
    <w:p w14:paraId="6D5BFF34" w14:textId="6D8D6B81" w:rsidR="008109E8" w:rsidRDefault="008109E8" w:rsidP="003C14E5">
      <w:pPr>
        <w:pStyle w:val="Heading2"/>
        <w:ind w:left="742" w:hanging="742"/>
      </w:pPr>
      <w:r>
        <w:t>Funding for the Company has been agreed for the next four financial years (starting in 2018/19)</w:t>
      </w:r>
      <w:r w:rsidR="00904BA6">
        <w:t>. This i</w:t>
      </w:r>
      <w:r>
        <w:t>nclud</w:t>
      </w:r>
      <w:r w:rsidR="00904BA6">
        <w:t>es</w:t>
      </w:r>
      <w:r>
        <w:t xml:space="preserve"> funding for a major project to facilitate decontamination of certain industrial facilities and removal of the related hazardous materials from the site. By virtue of these materials, the site is presently assigned </w:t>
      </w:r>
      <w:r w:rsidR="00F974E7">
        <w:t xml:space="preserve">Control </w:t>
      </w:r>
      <w:proofErr w:type="gramStart"/>
      <w:r w:rsidR="00F974E7">
        <w:t>Of</w:t>
      </w:r>
      <w:proofErr w:type="gramEnd"/>
      <w:r w:rsidR="00F974E7">
        <w:t xml:space="preserve"> Major Accident Hazards </w:t>
      </w:r>
      <w:r w:rsidR="00AC49A5">
        <w:t xml:space="preserve">Regulations </w:t>
      </w:r>
      <w:r w:rsidR="00F974E7">
        <w:t>(</w:t>
      </w:r>
      <w:r w:rsidR="00D6727A">
        <w:t>COMAH</w:t>
      </w:r>
      <w:r w:rsidR="00F974E7">
        <w:t>)</w:t>
      </w:r>
      <w:r>
        <w:t xml:space="preserve"> </w:t>
      </w:r>
      <w:r w:rsidR="00F851A7">
        <w:t>T</w:t>
      </w:r>
      <w:r>
        <w:t xml:space="preserve">op </w:t>
      </w:r>
      <w:r w:rsidR="00F851A7">
        <w:t>T</w:t>
      </w:r>
      <w:r>
        <w:t xml:space="preserve">ier status. Successful completion of the project will remove the site from </w:t>
      </w:r>
      <w:r w:rsidR="00D6727A">
        <w:t>COMAH</w:t>
      </w:r>
      <w:r>
        <w:t xml:space="preserve"> status and support the redevelopment of the site by STDC.</w:t>
      </w:r>
    </w:p>
    <w:p w14:paraId="7D5A725C" w14:textId="77777777" w:rsidR="008109E8" w:rsidRDefault="008109E8" w:rsidP="003C14E5">
      <w:pPr>
        <w:pStyle w:val="Heading2"/>
        <w:ind w:left="742" w:hanging="742"/>
      </w:pPr>
      <w:r>
        <w:t>The approach being mapped is to ensure adherence to current regulatory requirements and industry best practice with the aspiration being for innovation in the project delivery strategy, both contractually and physically, to realise maximum value from project outcomes.</w:t>
      </w:r>
    </w:p>
    <w:p w14:paraId="11E23906" w14:textId="061D9BD5" w:rsidR="008109E8" w:rsidRDefault="008109E8" w:rsidP="003C14E5">
      <w:pPr>
        <w:pStyle w:val="Heading2"/>
        <w:ind w:left="742" w:hanging="742"/>
      </w:pPr>
      <w:r>
        <w:t xml:space="preserve">The site context may best be described as complex, with </w:t>
      </w:r>
      <w:proofErr w:type="gramStart"/>
      <w:r>
        <w:t>a number of</w:t>
      </w:r>
      <w:proofErr w:type="gramEnd"/>
      <w:r>
        <w:t xml:space="preserve"> key issues to consider including the scale of the SSI assets, other on</w:t>
      </w:r>
      <w:r w:rsidR="00034E93">
        <w:t>-</w:t>
      </w:r>
      <w:r>
        <w:t>site operations, safety and environmental regulations, budgets and anticipated timescales.</w:t>
      </w:r>
    </w:p>
    <w:p w14:paraId="08BCDD80" w14:textId="4F7D2B3F" w:rsidR="008109E8" w:rsidRDefault="008109E8" w:rsidP="003C14E5">
      <w:pPr>
        <w:pStyle w:val="Heading2"/>
        <w:ind w:left="742" w:hanging="742"/>
      </w:pPr>
      <w:r>
        <w:t xml:space="preserve">Prior to liquidation in October 2015, SSI (UK) Ltd operated a 4 million tonne per annum integrated iron and steelmaking facility on Teesside. Included in the complex are two coke ovens and </w:t>
      </w:r>
      <w:r w:rsidR="00D6727A">
        <w:t>by-products</w:t>
      </w:r>
      <w:r>
        <w:t xml:space="preserve"> plants, a coke oven gas pipeline</w:t>
      </w:r>
      <w:r w:rsidR="0018191C">
        <w:t>/</w:t>
      </w:r>
      <w:r>
        <w:t>main</w:t>
      </w:r>
      <w:r w:rsidR="0018191C">
        <w:t xml:space="preserve"> (COGM</w:t>
      </w:r>
      <w:r>
        <w:t>) and a heavy fuel oil pipeline</w:t>
      </w:r>
      <w:r w:rsidR="0018191C">
        <w:t>/</w:t>
      </w:r>
      <w:r>
        <w:t>main</w:t>
      </w:r>
      <w:r w:rsidR="0018191C">
        <w:t xml:space="preserve"> (HFO</w:t>
      </w:r>
      <w:r>
        <w:t xml:space="preserve">). As well as providing coke for the iron-making process the coke ovens produced coke oven gas </w:t>
      </w:r>
      <w:r w:rsidR="002B6496">
        <w:t xml:space="preserve">(COG) </w:t>
      </w:r>
      <w:r>
        <w:t xml:space="preserve">which was used as fuel for the coke ovens and other on-site manufacturing assets, crude Benzole and Coal </w:t>
      </w:r>
      <w:r w:rsidR="0018191C">
        <w:t>T</w:t>
      </w:r>
      <w:r>
        <w:t>ar, which was processed and sold as a by-product.</w:t>
      </w:r>
    </w:p>
    <w:p w14:paraId="508A3637" w14:textId="7173F831" w:rsidR="008109E8" w:rsidRDefault="008109E8" w:rsidP="003C14E5">
      <w:pPr>
        <w:pStyle w:val="Heading2"/>
        <w:ind w:left="742" w:hanging="742"/>
      </w:pPr>
      <w:r>
        <w:t xml:space="preserve">The coke ovens are situated approximately 8km apart and connected by the </w:t>
      </w:r>
      <w:r w:rsidR="0018191C">
        <w:t>C</w:t>
      </w:r>
      <w:r>
        <w:t>OGM. The COGM,</w:t>
      </w:r>
      <w:r w:rsidR="00453ED0">
        <w:t xml:space="preserve"> which supplied</w:t>
      </w:r>
      <w:r>
        <w:t xml:space="preserve"> the other non-operational manufacturing facilities and the on-site power station, is approximately 27km long. The diameter varies across the 27km, but the interconnecting main is 600mm and the </w:t>
      </w:r>
      <w:r w:rsidR="00D6727A">
        <w:t>by-products</w:t>
      </w:r>
      <w:r>
        <w:t xml:space="preserve"> mains 1200mm, with c.7km of underground sections. The HFO is around 9km in length and is mostly 150mm in diameter.</w:t>
      </w:r>
    </w:p>
    <w:p w14:paraId="614EB717" w14:textId="4DFAD6DA" w:rsidR="008109E8" w:rsidRDefault="008109E8" w:rsidP="003C14E5">
      <w:pPr>
        <w:pStyle w:val="Heading2"/>
        <w:ind w:left="742" w:hanging="742"/>
      </w:pPr>
      <w:r>
        <w:t xml:space="preserve">When SSI entered liquidation the production assets were shut down in a very short period and </w:t>
      </w:r>
      <w:r w:rsidR="007F1D40">
        <w:t xml:space="preserve">were </w:t>
      </w:r>
      <w:r>
        <w:t xml:space="preserve">not cleaned out. This has left material in tanks and vessels in the </w:t>
      </w:r>
      <w:r w:rsidR="00D6727A">
        <w:t>by-products</w:t>
      </w:r>
      <w:r>
        <w:t xml:space="preserve"> plants and both pipelines. In addition, there is historic material from pre-liquidation days in some tanks. In some areas there is residue remaining in gullies and drainage systems.</w:t>
      </w:r>
    </w:p>
    <w:p w14:paraId="5902523F" w14:textId="77777777" w:rsidR="00900730" w:rsidRDefault="00900730" w:rsidP="003C14E5">
      <w:pPr>
        <w:pStyle w:val="Heading2"/>
        <w:ind w:left="742" w:hanging="742"/>
      </w:pPr>
      <w:r w:rsidRPr="000D33B8">
        <w:rPr>
          <w:rStyle w:val="TitleText"/>
        </w:rPr>
        <w:t>Project Aims and Objectives</w:t>
      </w:r>
      <w:r>
        <w:t>.</w:t>
      </w:r>
    </w:p>
    <w:p w14:paraId="491A2D74" w14:textId="5CFFD95B" w:rsidR="00900730" w:rsidRDefault="00900730" w:rsidP="003C14E5">
      <w:pPr>
        <w:pStyle w:val="Heading3"/>
        <w:ind w:left="742" w:hanging="742"/>
      </w:pPr>
      <w:r>
        <w:t xml:space="preserve">The </w:t>
      </w:r>
      <w:r w:rsidRPr="00310CAD">
        <w:rPr>
          <w:i/>
        </w:rPr>
        <w:t>Contractor</w:t>
      </w:r>
      <w:r>
        <w:t xml:space="preserve"> is to remove all </w:t>
      </w:r>
      <w:r w:rsidR="00F851A7">
        <w:t>To</w:t>
      </w:r>
      <w:r>
        <w:t xml:space="preserve">p Tier </w:t>
      </w:r>
      <w:r w:rsidR="00D6727A">
        <w:t>COMAH</w:t>
      </w:r>
      <w:r>
        <w:t xml:space="preserve"> materials from the SSI assets listed below (primarily Coal Tar</w:t>
      </w:r>
      <w:r w:rsidR="007F1D40">
        <w:t>,</w:t>
      </w:r>
      <w:r>
        <w:t xml:space="preserve"> Coal Tar composites</w:t>
      </w:r>
      <w:r w:rsidR="00453ED0">
        <w:t>,</w:t>
      </w:r>
      <w:r>
        <w:t xml:space="preserve"> Benzole</w:t>
      </w:r>
      <w:r w:rsidR="00D555B1">
        <w:t xml:space="preserve"> and </w:t>
      </w:r>
      <w:r w:rsidR="0018191C">
        <w:t>Naphthalene</w:t>
      </w:r>
      <w:r w:rsidR="00242174">
        <w:t>)</w:t>
      </w:r>
      <w:r>
        <w:t xml:space="preserve">, decontaminating all process equipment to </w:t>
      </w:r>
      <w:r w:rsidR="00453ED0">
        <w:t>the specified</w:t>
      </w:r>
      <w:r>
        <w:t xml:space="preserve"> standards.</w:t>
      </w:r>
    </w:p>
    <w:p w14:paraId="0C4E8A91" w14:textId="50EF1A4F" w:rsidR="00900730" w:rsidRDefault="00900730" w:rsidP="00900730">
      <w:pPr>
        <w:pStyle w:val="ListBullet"/>
      </w:pPr>
      <w:r>
        <w:t xml:space="preserve">South Bank Coke Oven </w:t>
      </w:r>
      <w:r w:rsidR="00D6727A">
        <w:t>by-products</w:t>
      </w:r>
      <w:r w:rsidR="00467DF3">
        <w:t xml:space="preserve"> plant </w:t>
      </w:r>
      <w:r>
        <w:t>(SBCO).</w:t>
      </w:r>
    </w:p>
    <w:p w14:paraId="3C26A4D5" w14:textId="5D99DE95" w:rsidR="00900730" w:rsidRDefault="00900730" w:rsidP="00900730">
      <w:pPr>
        <w:pStyle w:val="ListBullet"/>
      </w:pPr>
      <w:r>
        <w:t>Coke Oven Gas Main (COGM).</w:t>
      </w:r>
    </w:p>
    <w:p w14:paraId="318E5626" w14:textId="3755488E" w:rsidR="00900730" w:rsidRDefault="00900730" w:rsidP="00900730">
      <w:pPr>
        <w:pStyle w:val="ListBullet"/>
      </w:pPr>
      <w:r>
        <w:t xml:space="preserve">Heavy Fuel Oil Main </w:t>
      </w:r>
      <w:r w:rsidR="000E50C8">
        <w:t xml:space="preserve">and storage tanks </w:t>
      </w:r>
      <w:r>
        <w:t>(HFO).</w:t>
      </w:r>
    </w:p>
    <w:p w14:paraId="3C8BB052" w14:textId="18E40EBE" w:rsidR="00900730" w:rsidRDefault="00900730" w:rsidP="00656C73">
      <w:pPr>
        <w:pStyle w:val="ListBullet"/>
      </w:pPr>
      <w:r>
        <w:t xml:space="preserve">Redcar Coke Oven </w:t>
      </w:r>
      <w:r w:rsidR="00D6727A">
        <w:t>by-products</w:t>
      </w:r>
      <w:r w:rsidR="000E50C8">
        <w:t xml:space="preserve"> plant </w:t>
      </w:r>
      <w:r>
        <w:t>(RCO).</w:t>
      </w:r>
    </w:p>
    <w:p w14:paraId="1550F336" w14:textId="4F937450" w:rsidR="002A6A3B" w:rsidRDefault="002A6A3B" w:rsidP="002A6A3B">
      <w:pPr>
        <w:pStyle w:val="Heading2"/>
      </w:pPr>
      <w:proofErr w:type="gramStart"/>
      <w:r w:rsidRPr="00656C73">
        <w:rPr>
          <w:rStyle w:val="TitleText"/>
        </w:rPr>
        <w:t>Current Status</w:t>
      </w:r>
      <w:proofErr w:type="gramEnd"/>
      <w:r>
        <w:t>.</w:t>
      </w:r>
    </w:p>
    <w:p w14:paraId="5E4313C9" w14:textId="462C98EF" w:rsidR="002A6A3B" w:rsidRDefault="002A6A3B" w:rsidP="003C14E5">
      <w:pPr>
        <w:pStyle w:val="Heading3"/>
        <w:ind w:left="728" w:hanging="728"/>
      </w:pPr>
      <w:r>
        <w:t>The S</w:t>
      </w:r>
      <w:r w:rsidR="00104DF6">
        <w:t>TSC</w:t>
      </w:r>
      <w:r>
        <w:t xml:space="preserve"> site still operates as a </w:t>
      </w:r>
      <w:r w:rsidR="00F851A7">
        <w:t>T</w:t>
      </w:r>
      <w:r w:rsidR="00150AFE">
        <w:t>op</w:t>
      </w:r>
      <w:r>
        <w:t xml:space="preserve"> </w:t>
      </w:r>
      <w:r w:rsidR="00F851A7">
        <w:t>T</w:t>
      </w:r>
      <w:r>
        <w:t xml:space="preserve">ier </w:t>
      </w:r>
      <w:r w:rsidR="00D6727A">
        <w:t>COMAH</w:t>
      </w:r>
      <w:r>
        <w:t xml:space="preserve"> site </w:t>
      </w:r>
      <w:proofErr w:type="gramStart"/>
      <w:r>
        <w:t>and also</w:t>
      </w:r>
      <w:proofErr w:type="gramEnd"/>
      <w:r>
        <w:t xml:space="preserve"> needs </w:t>
      </w:r>
      <w:r w:rsidR="002B688E">
        <w:t xml:space="preserve">to continue </w:t>
      </w:r>
      <w:r>
        <w:t xml:space="preserve">to meet its obligations within its Environmental Permit: </w:t>
      </w:r>
      <w:r w:rsidR="002B688E">
        <w:t>B</w:t>
      </w:r>
      <w:r>
        <w:t>oth are regulated by the Competent Authority.</w:t>
      </w:r>
    </w:p>
    <w:p w14:paraId="587BD461" w14:textId="4AEB2D0C" w:rsidR="008114E5" w:rsidRDefault="008114E5" w:rsidP="003C14E5">
      <w:pPr>
        <w:pStyle w:val="Heading2"/>
        <w:ind w:left="728" w:hanging="728"/>
      </w:pPr>
      <w:r>
        <w:t xml:space="preserve">Some of the material in the </w:t>
      </w:r>
      <w:r w:rsidR="00E46A8C">
        <w:t xml:space="preserve">SBCO, RCO </w:t>
      </w:r>
      <w:r>
        <w:t>and the COGM is pyrophoric and is currently maintained under a nitrogen blanket.</w:t>
      </w:r>
    </w:p>
    <w:p w14:paraId="218F63DC" w14:textId="77777777" w:rsidR="008114E5" w:rsidRDefault="008114E5" w:rsidP="008114E5">
      <w:pPr>
        <w:pStyle w:val="Heading2"/>
      </w:pPr>
      <w:r>
        <w:lastRenderedPageBreak/>
        <w:t>The approximate inventory of materials is:</w:t>
      </w:r>
    </w:p>
    <w:p w14:paraId="69DD37D8" w14:textId="658FC986" w:rsidR="001F613D" w:rsidRDefault="00E46A8C" w:rsidP="00656C73">
      <w:pPr>
        <w:pStyle w:val="ListBullet"/>
      </w:pPr>
      <w:r w:rsidRPr="001F613D">
        <w:rPr>
          <w:rStyle w:val="TitleText"/>
        </w:rPr>
        <w:t>S</w:t>
      </w:r>
      <w:r w:rsidR="001F613D" w:rsidRPr="001F613D">
        <w:rPr>
          <w:rStyle w:val="TitleText"/>
        </w:rPr>
        <w:t>BCO</w:t>
      </w:r>
      <w:r w:rsidR="001F613D">
        <w:t>.</w:t>
      </w:r>
      <w:r w:rsidR="008114E5">
        <w:t xml:space="preserve"> </w:t>
      </w:r>
    </w:p>
    <w:p w14:paraId="14F6A180" w14:textId="59B14AD0" w:rsidR="008114E5" w:rsidRPr="00656C73" w:rsidRDefault="001F613D" w:rsidP="003C14E5">
      <w:pPr>
        <w:pStyle w:val="ListBullet"/>
        <w:numPr>
          <w:ilvl w:val="1"/>
          <w:numId w:val="5"/>
        </w:numPr>
        <w:ind w:left="2184" w:hanging="766"/>
      </w:pPr>
      <w:r>
        <w:t>4,</w:t>
      </w:r>
      <w:r w:rsidRPr="00656C73">
        <w:t>000T</w:t>
      </w:r>
      <w:r w:rsidR="008114E5" w:rsidRPr="00656C73">
        <w:t xml:space="preserve"> including Coal Tar and distillates, such as Naphthalene, Benzole Oil, Ammonia, Creosote Oil (their liquors and emulsions together with Breeze).</w:t>
      </w:r>
    </w:p>
    <w:p w14:paraId="549E7647" w14:textId="20AC5216" w:rsidR="008114E5" w:rsidRDefault="008114E5" w:rsidP="00656C73">
      <w:pPr>
        <w:pStyle w:val="ListBullet"/>
        <w:numPr>
          <w:ilvl w:val="1"/>
          <w:numId w:val="5"/>
        </w:numPr>
        <w:ind w:left="1418" w:firstLine="0"/>
      </w:pPr>
      <w:r w:rsidRPr="00656C73">
        <w:t>5400t</w:t>
      </w:r>
      <w:r>
        <w:t xml:space="preserve"> of mixed coal tar, coal and by</w:t>
      </w:r>
      <w:r w:rsidR="00DE5BC5">
        <w:t>-</w:t>
      </w:r>
      <w:r>
        <w:t>product residue</w:t>
      </w:r>
    </w:p>
    <w:p w14:paraId="506546E9" w14:textId="77777777" w:rsidR="00F137BC" w:rsidRDefault="001F613D" w:rsidP="008114E5">
      <w:pPr>
        <w:pStyle w:val="ListBullet"/>
      </w:pPr>
      <w:r w:rsidRPr="001F613D">
        <w:rPr>
          <w:rStyle w:val="TitleText"/>
        </w:rPr>
        <w:t>COGM</w:t>
      </w:r>
      <w:r>
        <w:t>.</w:t>
      </w:r>
    </w:p>
    <w:p w14:paraId="5E2C6645" w14:textId="3205432A" w:rsidR="008114E5" w:rsidRDefault="008114E5" w:rsidP="00656C73">
      <w:pPr>
        <w:pStyle w:val="ListBullet"/>
        <w:numPr>
          <w:ilvl w:val="1"/>
          <w:numId w:val="5"/>
        </w:numPr>
        <w:ind w:left="1418" w:firstLine="0"/>
      </w:pPr>
      <w:r>
        <w:t xml:space="preserve">5,500T of Naphthalene and other </w:t>
      </w:r>
      <w:r w:rsidR="002B6496">
        <w:t>GOG</w:t>
      </w:r>
      <w:r>
        <w:t xml:space="preserve"> components.</w:t>
      </w:r>
    </w:p>
    <w:p w14:paraId="56FB65F1" w14:textId="77777777" w:rsidR="00F137BC" w:rsidRDefault="001F613D" w:rsidP="008114E5">
      <w:pPr>
        <w:pStyle w:val="ListBullet"/>
      </w:pPr>
      <w:r w:rsidRPr="001F613D">
        <w:rPr>
          <w:rStyle w:val="TitleText"/>
        </w:rPr>
        <w:t>HFO</w:t>
      </w:r>
      <w:r>
        <w:t>.</w:t>
      </w:r>
      <w:r w:rsidR="008114E5">
        <w:t xml:space="preserve"> </w:t>
      </w:r>
    </w:p>
    <w:p w14:paraId="685C5528" w14:textId="0300F94B" w:rsidR="008114E5" w:rsidRDefault="008114E5" w:rsidP="00656C73">
      <w:pPr>
        <w:pStyle w:val="ListBullet"/>
        <w:numPr>
          <w:ilvl w:val="1"/>
          <w:numId w:val="5"/>
        </w:numPr>
        <w:ind w:left="1418" w:firstLine="0"/>
      </w:pPr>
      <w:r>
        <w:t xml:space="preserve">150T of heavy fuel oil. </w:t>
      </w:r>
    </w:p>
    <w:p w14:paraId="333DA1B7" w14:textId="77777777" w:rsidR="00E2549A" w:rsidRDefault="000E50C8" w:rsidP="008114E5">
      <w:pPr>
        <w:pStyle w:val="ListBullet"/>
      </w:pPr>
      <w:r w:rsidRPr="00E2549A">
        <w:rPr>
          <w:b/>
        </w:rPr>
        <w:t>RCO</w:t>
      </w:r>
      <w:r w:rsidR="00E2549A">
        <w:t>.</w:t>
      </w:r>
      <w:r w:rsidR="008114E5">
        <w:t xml:space="preserve"> </w:t>
      </w:r>
    </w:p>
    <w:p w14:paraId="31A6730A" w14:textId="77777777" w:rsidR="0075728B" w:rsidRDefault="008114E5" w:rsidP="003C14E5">
      <w:pPr>
        <w:pStyle w:val="ListBullet"/>
        <w:numPr>
          <w:ilvl w:val="1"/>
          <w:numId w:val="5"/>
        </w:numPr>
        <w:ind w:left="2170" w:hanging="752"/>
      </w:pPr>
      <w:r>
        <w:t xml:space="preserve">6,000T including Coal Tar and distillates, such as Naphthalene, Benzole Oil, Ammonia, Creosote Oil (their liquors and emulsions together with Breeze). </w:t>
      </w:r>
    </w:p>
    <w:p w14:paraId="20FC0BAC" w14:textId="77777777" w:rsidR="003C14E5" w:rsidRDefault="003C14E5" w:rsidP="003C14E5">
      <w:pPr>
        <w:pStyle w:val="ListBullet"/>
        <w:numPr>
          <w:ilvl w:val="0"/>
          <w:numId w:val="0"/>
        </w:numPr>
        <w:ind w:left="2170"/>
      </w:pPr>
    </w:p>
    <w:p w14:paraId="393BD58B" w14:textId="0ED41730" w:rsidR="008114E5" w:rsidRDefault="00EA12BA" w:rsidP="002B05BE">
      <w:pPr>
        <w:pStyle w:val="ListBullet"/>
        <w:numPr>
          <w:ilvl w:val="0"/>
          <w:numId w:val="0"/>
        </w:numPr>
        <w:ind w:left="1418"/>
      </w:pPr>
      <w:r>
        <w:t xml:space="preserve">NB: </w:t>
      </w:r>
      <w:r w:rsidR="008114E5">
        <w:t>Redcar Coke Oven also has a live system for the processing of rainwater prior to discharge to the River Tees</w:t>
      </w:r>
      <w:r w:rsidR="00D555B1">
        <w:t xml:space="preserve"> that is not included in the decontamination project</w:t>
      </w:r>
      <w:r w:rsidR="008114E5">
        <w:t>.</w:t>
      </w:r>
    </w:p>
    <w:p w14:paraId="4E5AEF25" w14:textId="2CA39BB4" w:rsidR="002A6A3B" w:rsidRDefault="002A6A3B" w:rsidP="00C54F15">
      <w:pPr>
        <w:pStyle w:val="Heading2"/>
        <w:ind w:left="686" w:hanging="686"/>
      </w:pPr>
      <w:r>
        <w:t>Current risks are managed under the “Keep Safe” activities by the implementation of a range of activities including:</w:t>
      </w:r>
    </w:p>
    <w:p w14:paraId="11953237" w14:textId="77777777" w:rsidR="002A6A3B" w:rsidRDefault="002A6A3B" w:rsidP="003C14E5">
      <w:pPr>
        <w:pStyle w:val="ListBullet"/>
        <w:ind w:left="1418" w:hanging="709"/>
      </w:pPr>
      <w:r>
        <w:t>Site Security and Access Control.</w:t>
      </w:r>
    </w:p>
    <w:p w14:paraId="23B41E4E" w14:textId="77777777" w:rsidR="002A6A3B" w:rsidRDefault="002A6A3B" w:rsidP="003C14E5">
      <w:pPr>
        <w:pStyle w:val="ListBullet"/>
        <w:ind w:left="1418" w:hanging="709"/>
      </w:pPr>
      <w:r>
        <w:t>Random Drugs and Alcohol testing.</w:t>
      </w:r>
    </w:p>
    <w:p w14:paraId="4FFB6443" w14:textId="77777777" w:rsidR="002A6A3B" w:rsidRDefault="002A6A3B" w:rsidP="003C14E5">
      <w:pPr>
        <w:pStyle w:val="ListBullet"/>
        <w:ind w:left="1418" w:hanging="709"/>
      </w:pPr>
      <w:r>
        <w:t xml:space="preserve">Permit </w:t>
      </w:r>
      <w:proofErr w:type="gramStart"/>
      <w:r>
        <w:t>To</w:t>
      </w:r>
      <w:proofErr w:type="gramEnd"/>
      <w:r>
        <w:t xml:space="preserve"> Work systems for all work on site.</w:t>
      </w:r>
    </w:p>
    <w:p w14:paraId="7A423494" w14:textId="626174C3" w:rsidR="002A6A3B" w:rsidRDefault="002A6A3B" w:rsidP="003C14E5">
      <w:pPr>
        <w:pStyle w:val="ListBullet"/>
        <w:ind w:left="1418" w:hanging="709"/>
      </w:pPr>
      <w:r>
        <w:t>Procedures detailing Control Measures for work – including Risk Assessment and Method Statements (RAMS), Excavation, Working at Height</w:t>
      </w:r>
      <w:r w:rsidR="004F664D">
        <w:t xml:space="preserve"> and</w:t>
      </w:r>
      <w:r>
        <w:t xml:space="preserve"> Electrical Isolations.</w:t>
      </w:r>
    </w:p>
    <w:p w14:paraId="58E81497" w14:textId="4CE4CA3C" w:rsidR="002A6A3B" w:rsidRDefault="002A6A3B" w:rsidP="003C14E5">
      <w:pPr>
        <w:pStyle w:val="ListBullet"/>
        <w:ind w:left="1418" w:hanging="709"/>
      </w:pPr>
      <w:r>
        <w:t>Continuous blanket of Nitrogen across the Coke Oven Gas systems (COGM</w:t>
      </w:r>
      <w:r w:rsidR="00453ED0">
        <w:t>,</w:t>
      </w:r>
      <w:r>
        <w:t xml:space="preserve"> SBCO and RCO).</w:t>
      </w:r>
    </w:p>
    <w:p w14:paraId="4CFCFA82" w14:textId="791F0584" w:rsidR="002A6A3B" w:rsidRDefault="002A6A3B" w:rsidP="003C14E5">
      <w:pPr>
        <w:pStyle w:val="ListBullet"/>
        <w:ind w:left="1418" w:hanging="709"/>
      </w:pPr>
      <w:r>
        <w:t>Routine inspections by STSC personnel</w:t>
      </w:r>
      <w:r w:rsidR="00AA329F">
        <w:t>, including s</w:t>
      </w:r>
      <w:r>
        <w:t>cheduled routine inspections by STSC Shift Managers</w:t>
      </w:r>
      <w:r w:rsidR="00AA329F">
        <w:t>.</w:t>
      </w:r>
    </w:p>
    <w:p w14:paraId="20232053" w14:textId="36239602" w:rsidR="002A6A3B" w:rsidRDefault="002A6A3B" w:rsidP="003C14E5">
      <w:pPr>
        <w:pStyle w:val="ListBullet"/>
        <w:ind w:left="1418" w:hanging="709"/>
      </w:pPr>
      <w:r>
        <w:t>Scheduled structural inspections by STSC Integrity Dept. personnel based on Risk Assessed criteria</w:t>
      </w:r>
      <w:r w:rsidR="00AA329F">
        <w:t>.</w:t>
      </w:r>
    </w:p>
    <w:p w14:paraId="7E9BD47C" w14:textId="0E3EAAB7" w:rsidR="002A6A3B" w:rsidRDefault="002A6A3B" w:rsidP="003C14E5">
      <w:pPr>
        <w:pStyle w:val="ListBullet"/>
        <w:ind w:left="1418" w:hanging="709"/>
      </w:pPr>
      <w:r>
        <w:t>All hazardous product storage tanks are situated within sealed areas &amp; provided with tertiary containment</w:t>
      </w:r>
      <w:r w:rsidR="00AA329F">
        <w:t>.</w:t>
      </w:r>
      <w:r>
        <w:t xml:space="preserve"> </w:t>
      </w:r>
    </w:p>
    <w:p w14:paraId="439114C2" w14:textId="6D731910" w:rsidR="002A6A3B" w:rsidRDefault="002A6A3B" w:rsidP="003C14E5">
      <w:pPr>
        <w:pStyle w:val="ListBullet"/>
        <w:ind w:left="1418" w:hanging="709"/>
      </w:pPr>
      <w:r>
        <w:t xml:space="preserve">Internals of vessels, tanks, pipework </w:t>
      </w:r>
      <w:r w:rsidR="001130F7">
        <w:t>and</w:t>
      </w:r>
      <w:r>
        <w:t xml:space="preserve"> sumps are fouled with COG </w:t>
      </w:r>
      <w:r w:rsidR="00D6727A">
        <w:t>by-products</w:t>
      </w:r>
      <w:r>
        <w:t xml:space="preserve"> (inc</w:t>
      </w:r>
      <w:r w:rsidR="006A0FBA">
        <w:t>luding</w:t>
      </w:r>
      <w:r>
        <w:t xml:space="preserve"> </w:t>
      </w:r>
      <w:r w:rsidR="00D6727A">
        <w:t>COMAH</w:t>
      </w:r>
      <w:r>
        <w:t xml:space="preserve"> substances) and Pyrophoric material</w:t>
      </w:r>
      <w:r w:rsidR="00453ED0">
        <w:t xml:space="preserve">. </w:t>
      </w:r>
      <w:r>
        <w:t xml:space="preserve">These substances include, Coal Tar, Benzole &amp; Naphthalene Absorbing Oil, Benzene </w:t>
      </w:r>
      <w:r w:rsidR="000802B3">
        <w:t>and</w:t>
      </w:r>
      <w:r>
        <w:t xml:space="preserve"> Ammonia</w:t>
      </w:r>
    </w:p>
    <w:p w14:paraId="2FD6333D" w14:textId="225CA791" w:rsidR="002A6A3B" w:rsidRDefault="002A6A3B" w:rsidP="003C14E5">
      <w:pPr>
        <w:pStyle w:val="ListBullet"/>
        <w:ind w:left="1418" w:hanging="709"/>
      </w:pPr>
      <w:r>
        <w:t xml:space="preserve">Coke </w:t>
      </w:r>
      <w:r w:rsidR="00B9355E">
        <w:t>O</w:t>
      </w:r>
      <w:r>
        <w:t xml:space="preserve">ven </w:t>
      </w:r>
      <w:r w:rsidR="00D6727A">
        <w:t>by-products</w:t>
      </w:r>
      <w:r>
        <w:t xml:space="preserve"> operations involve</w:t>
      </w:r>
      <w:r w:rsidR="00453ED0">
        <w:t>d</w:t>
      </w:r>
      <w:r>
        <w:t xml:space="preserve"> the production, process </w:t>
      </w:r>
      <w:r w:rsidR="007974F5">
        <w:t>and</w:t>
      </w:r>
      <w:r>
        <w:t xml:space="preserve"> transfer of </w:t>
      </w:r>
      <w:proofErr w:type="gramStart"/>
      <w:r>
        <w:t>a number of</w:t>
      </w:r>
      <w:proofErr w:type="gramEnd"/>
      <w:r>
        <w:t xml:space="preserve"> </w:t>
      </w:r>
      <w:r w:rsidR="00B9355E">
        <w:t xml:space="preserve">Top </w:t>
      </w:r>
      <w:r w:rsidR="007974F5">
        <w:t>T</w:t>
      </w:r>
      <w:r w:rsidR="00B9355E">
        <w:t xml:space="preserve">ier </w:t>
      </w:r>
      <w:r w:rsidR="00D6727A">
        <w:t>COMAH</w:t>
      </w:r>
      <w:r>
        <w:t xml:space="preserve"> substances plus </w:t>
      </w:r>
      <w:r w:rsidR="007974F5">
        <w:t>h</w:t>
      </w:r>
      <w:r>
        <w:t xml:space="preserve">azardous &amp; </w:t>
      </w:r>
      <w:r w:rsidR="007974F5">
        <w:t>n</w:t>
      </w:r>
      <w:r>
        <w:t>on</w:t>
      </w:r>
      <w:r w:rsidR="006A0FBA">
        <w:t>-</w:t>
      </w:r>
      <w:r w:rsidR="007974F5">
        <w:t>h</w:t>
      </w:r>
      <w:r>
        <w:t>azardous</w:t>
      </w:r>
      <w:r w:rsidR="007974F5">
        <w:t xml:space="preserve"> </w:t>
      </w:r>
      <w:r>
        <w:t>products</w:t>
      </w:r>
      <w:r w:rsidR="00453ED0">
        <w:t xml:space="preserve"> </w:t>
      </w:r>
      <w:r>
        <w:t>/</w:t>
      </w:r>
      <w:r w:rsidR="00453ED0">
        <w:t xml:space="preserve"> </w:t>
      </w:r>
      <w:r>
        <w:t xml:space="preserve">substances which pose a risk to the general health of personnel and the environment. </w:t>
      </w:r>
    </w:p>
    <w:p w14:paraId="4778800E" w14:textId="40EA9CC0" w:rsidR="002A6A3B" w:rsidRDefault="002A6A3B" w:rsidP="003C14E5">
      <w:pPr>
        <w:pStyle w:val="ListBullet"/>
        <w:ind w:left="1418" w:hanging="709"/>
      </w:pPr>
      <w:r>
        <w:t xml:space="preserve">In addition to tanks, vessels and pipelines part of this process </w:t>
      </w:r>
      <w:r w:rsidR="007974F5">
        <w:t>and</w:t>
      </w:r>
      <w:r>
        <w:t xml:space="preserve"> transfer requires the use of gullies </w:t>
      </w:r>
      <w:r w:rsidR="007974F5">
        <w:t>and</w:t>
      </w:r>
      <w:r>
        <w:t xml:space="preserve"> sumps for the collection </w:t>
      </w:r>
      <w:r w:rsidR="007974F5">
        <w:t>and</w:t>
      </w:r>
      <w:r>
        <w:t xml:space="preserve"> distribution of products including Tar, Oils </w:t>
      </w:r>
      <w:r w:rsidR="007974F5">
        <w:t>and</w:t>
      </w:r>
      <w:r>
        <w:t xml:space="preserve"> Liquors. </w:t>
      </w:r>
    </w:p>
    <w:p w14:paraId="74D56B34" w14:textId="07FFF4AE" w:rsidR="002A6A3B" w:rsidRDefault="002A6A3B" w:rsidP="003C14E5">
      <w:pPr>
        <w:pStyle w:val="ListBullet"/>
        <w:ind w:left="1418" w:hanging="709"/>
      </w:pPr>
      <w:r>
        <w:t xml:space="preserve">The abrupt cessation of coke making operations in </w:t>
      </w:r>
      <w:r w:rsidR="0018191C">
        <w:t>October</w:t>
      </w:r>
      <w:r>
        <w:t xml:space="preserve"> 2015 gave insufficient time to shut down the </w:t>
      </w:r>
      <w:r w:rsidR="00557649">
        <w:t>b</w:t>
      </w:r>
      <w:r>
        <w:t xml:space="preserve">y-product recovery process in a prescribed timely manner. </w:t>
      </w:r>
    </w:p>
    <w:p w14:paraId="3A7EAD17" w14:textId="599D0804" w:rsidR="002A6A3B" w:rsidRDefault="002A6A3B" w:rsidP="003C14E5">
      <w:pPr>
        <w:pStyle w:val="ListBullet"/>
        <w:ind w:left="1418" w:hanging="709"/>
      </w:pPr>
      <w:r>
        <w:t xml:space="preserve">The legacy of this has resulted in a significant amount of the </w:t>
      </w:r>
      <w:r w:rsidR="00557649">
        <w:t>b</w:t>
      </w:r>
      <w:r>
        <w:t>y-product tanks, vessels and pipelines contents still being present.  An inventory of the substances has been compiled and is monitored by the EHS dept.</w:t>
      </w:r>
    </w:p>
    <w:p w14:paraId="28C3274B" w14:textId="0CCA1B99" w:rsidR="002A6A3B" w:rsidRDefault="002A6A3B" w:rsidP="003C14E5">
      <w:pPr>
        <w:pStyle w:val="ListBullet"/>
        <w:ind w:left="1418" w:hanging="709"/>
      </w:pPr>
      <w:r>
        <w:t xml:space="preserve">There is an ongoing requirement to monitor and maintain the site to prevent a </w:t>
      </w:r>
      <w:r w:rsidR="00AD4823">
        <w:t xml:space="preserve">loss of containment, </w:t>
      </w:r>
      <w:r>
        <w:t>prevent flooding and ensure safe and legal disposal of contaminated surface rainwater.</w:t>
      </w:r>
    </w:p>
    <w:p w14:paraId="61C73D37" w14:textId="5404D9A6" w:rsidR="002A6A3B" w:rsidRDefault="002A6A3B" w:rsidP="003C14E5">
      <w:pPr>
        <w:pStyle w:val="ListBullet"/>
        <w:ind w:left="1418" w:hanging="709"/>
      </w:pPr>
      <w:r>
        <w:t>The solution to reduc</w:t>
      </w:r>
      <w:r w:rsidR="002F2750">
        <w:t>ing</w:t>
      </w:r>
      <w:r>
        <w:t xml:space="preserve"> the Safety </w:t>
      </w:r>
      <w:r w:rsidR="0005255E">
        <w:t>and</w:t>
      </w:r>
      <w:r>
        <w:t xml:space="preserve"> Environmental controls on the site is the cleaning</w:t>
      </w:r>
      <w:r w:rsidR="002F2750">
        <w:t>, removal and safe disposal</w:t>
      </w:r>
      <w:r>
        <w:t xml:space="preserve"> of </w:t>
      </w:r>
      <w:proofErr w:type="gramStart"/>
      <w:r>
        <w:t>all of</w:t>
      </w:r>
      <w:proofErr w:type="gramEnd"/>
      <w:r>
        <w:t xml:space="preserve"> the </w:t>
      </w:r>
      <w:r w:rsidR="00D6727A">
        <w:t>COMAH</w:t>
      </w:r>
      <w:r>
        <w:t xml:space="preserve">, </w:t>
      </w:r>
      <w:r w:rsidR="00630B0E">
        <w:t>h</w:t>
      </w:r>
      <w:r>
        <w:t xml:space="preserve">azardous </w:t>
      </w:r>
      <w:r w:rsidR="00630B0E">
        <w:t>and</w:t>
      </w:r>
      <w:r>
        <w:t xml:space="preserve"> </w:t>
      </w:r>
      <w:r w:rsidR="00630B0E">
        <w:t>n</w:t>
      </w:r>
      <w:r>
        <w:t>on</w:t>
      </w:r>
      <w:r w:rsidR="00A50D20">
        <w:t>-</w:t>
      </w:r>
      <w:r>
        <w:t xml:space="preserve">Hazardous substances from transfer lines, tanks, vessels, gullies, sumps </w:t>
      </w:r>
      <w:r w:rsidR="00630B0E">
        <w:t>and</w:t>
      </w:r>
      <w:r>
        <w:t xml:space="preserve"> bunds.</w:t>
      </w:r>
    </w:p>
    <w:p w14:paraId="33844012" w14:textId="2D7D40BD" w:rsidR="002A6A3B" w:rsidRDefault="002A6A3B" w:rsidP="003C14E5">
      <w:pPr>
        <w:pStyle w:val="ListBullet"/>
        <w:ind w:left="1418" w:hanging="709"/>
      </w:pPr>
      <w:r>
        <w:t xml:space="preserve">The HFO line has </w:t>
      </w:r>
      <w:r w:rsidR="00453ED0">
        <w:t>p</w:t>
      </w:r>
      <w:r>
        <w:t xml:space="preserve">igging and </w:t>
      </w:r>
      <w:r w:rsidR="00453ED0">
        <w:t>e</w:t>
      </w:r>
      <w:r>
        <w:t xml:space="preserve">lectric </w:t>
      </w:r>
      <w:r w:rsidR="00453ED0">
        <w:t>t</w:t>
      </w:r>
      <w:r>
        <w:t>race heating stations along its length</w:t>
      </w:r>
      <w:r w:rsidR="00950AA4">
        <w:t xml:space="preserve">. </w:t>
      </w:r>
      <w:r w:rsidR="00630B0E">
        <w:t>H</w:t>
      </w:r>
      <w:r>
        <w:t>owever</w:t>
      </w:r>
      <w:r w:rsidR="00630B0E">
        <w:t>,</w:t>
      </w:r>
      <w:r>
        <w:t xml:space="preserve"> these have either not been used for several years, or have been vandalised.  The material within the HFO is considered almost solid, or at least of very high viscosity. </w:t>
      </w:r>
    </w:p>
    <w:p w14:paraId="739ACB40" w14:textId="25054F4B" w:rsidR="002A6A3B" w:rsidRDefault="002A6A3B" w:rsidP="003C14E5">
      <w:pPr>
        <w:pStyle w:val="ListBullet"/>
        <w:ind w:left="1418" w:hanging="709"/>
      </w:pPr>
      <w:r>
        <w:t>Redcar Coke Ovens has some operations (rainwater treatment) which will continue during the project</w:t>
      </w:r>
      <w:r w:rsidR="00950AA4">
        <w:t>.</w:t>
      </w:r>
      <w:r>
        <w:t xml:space="preserve"> </w:t>
      </w:r>
    </w:p>
    <w:p w14:paraId="66E1F0EF" w14:textId="66AEF1BE" w:rsidR="002A6A3B" w:rsidRPr="006A6F4C" w:rsidRDefault="008C3816" w:rsidP="003C14E5">
      <w:pPr>
        <w:pStyle w:val="Heading2"/>
      </w:pPr>
      <w:r>
        <w:lastRenderedPageBreak/>
        <w:t xml:space="preserve">Details of the STSC Procedures that the </w:t>
      </w:r>
      <w:r w:rsidRPr="008C3816">
        <w:rPr>
          <w:i/>
        </w:rPr>
        <w:t>Contractor</w:t>
      </w:r>
      <w:r>
        <w:t xml:space="preserve"> will need to comply with are provided in </w:t>
      </w:r>
      <w:r w:rsidR="00102062">
        <w:fldChar w:fldCharType="begin"/>
      </w:r>
      <w:r w:rsidR="00102062">
        <w:instrText xml:space="preserve"> REF _Ref525296963 \r \h </w:instrText>
      </w:r>
      <w:r w:rsidR="00102062">
        <w:fldChar w:fldCharType="separate"/>
      </w:r>
      <w:r w:rsidR="00102062">
        <w:t>Appendix 6</w:t>
      </w:r>
      <w:r w:rsidR="00102062">
        <w:fldChar w:fldCharType="end"/>
      </w:r>
      <w:r w:rsidR="00102062">
        <w:t>.</w:t>
      </w:r>
    </w:p>
    <w:p w14:paraId="361E38B5" w14:textId="77777777" w:rsidR="006A6F4C" w:rsidRDefault="006A6F4C" w:rsidP="006A6F4C">
      <w:pPr>
        <w:pStyle w:val="Heading2"/>
      </w:pPr>
      <w:r w:rsidRPr="006A6F4C">
        <w:rPr>
          <w:rStyle w:val="TitleText"/>
        </w:rPr>
        <w:t>Health &amp; Safety and the Environment</w:t>
      </w:r>
      <w:r>
        <w:t>:</w:t>
      </w:r>
    </w:p>
    <w:p w14:paraId="40724A8D" w14:textId="77777777" w:rsidR="006A6F4C" w:rsidRPr="00532F0E" w:rsidRDefault="006A6F4C" w:rsidP="006A6F4C">
      <w:pPr>
        <w:pStyle w:val="Heading3"/>
        <w:rPr>
          <w:b/>
        </w:rPr>
      </w:pPr>
      <w:r w:rsidRPr="00532F0E">
        <w:rPr>
          <w:rStyle w:val="TitleText"/>
          <w:b w:val="0"/>
        </w:rPr>
        <w:t>Maintaining the Nitrogen Blanket</w:t>
      </w:r>
      <w:r w:rsidRPr="00532F0E">
        <w:rPr>
          <w:b/>
        </w:rPr>
        <w:t>:</w:t>
      </w:r>
    </w:p>
    <w:p w14:paraId="7BA2D20B" w14:textId="1FB21C58" w:rsidR="006A6F4C" w:rsidRDefault="006A6F4C" w:rsidP="003C14E5">
      <w:pPr>
        <w:pStyle w:val="ListBullet"/>
        <w:ind w:left="1276" w:hanging="567"/>
      </w:pPr>
      <w:r>
        <w:t xml:space="preserve">Both SBCO and RCO </w:t>
      </w:r>
      <w:r w:rsidR="00D5591C">
        <w:t>b</w:t>
      </w:r>
      <w:r>
        <w:t>y-product recovery vessels, and the COGM, are currently under a Nitrogen blanket.</w:t>
      </w:r>
    </w:p>
    <w:p w14:paraId="3060F37F" w14:textId="0068EA67" w:rsidR="006A6F4C" w:rsidRDefault="006A6F4C" w:rsidP="003C14E5">
      <w:pPr>
        <w:pStyle w:val="ListBullet"/>
        <w:ind w:left="1276" w:hanging="567"/>
      </w:pPr>
      <w:r>
        <w:t>The Nitrogen is provided by BOC and is introduced at Redcar Blast Furnace and then into the arterial main, with the COGM providing the distribution system for all areas of site</w:t>
      </w:r>
      <w:r w:rsidR="00042571">
        <w:t>.</w:t>
      </w:r>
      <w:r w:rsidR="002B05BE">
        <w:t xml:space="preserve"> </w:t>
      </w:r>
      <w:r w:rsidR="00042571">
        <w:t>T</w:t>
      </w:r>
      <w:r>
        <w:t xml:space="preserve">his distribution system is made up of sections of elevated and underground </w:t>
      </w:r>
      <w:r w:rsidR="00453ED0">
        <w:t>a</w:t>
      </w:r>
      <w:r>
        <w:t xml:space="preserve">rterial mains, and branches.  The methodology used for decontamination will need to maintain the Nitrogen supply throughout the decontamination </w:t>
      </w:r>
      <w:r w:rsidR="006A033E">
        <w:t>process or</w:t>
      </w:r>
      <w:r>
        <w:t xml:space="preserve"> implement other suitable control measures. </w:t>
      </w:r>
    </w:p>
    <w:p w14:paraId="126A2096" w14:textId="297C589E" w:rsidR="006A6F4C" w:rsidRDefault="006A6F4C" w:rsidP="003C14E5">
      <w:pPr>
        <w:pStyle w:val="ListBullet"/>
        <w:ind w:left="1276" w:hanging="567"/>
      </w:pPr>
      <w:r>
        <w:t>In the past, arrangements have been made with BOC to provide additional temporary supply of Nitrogen, located at specific fixed tie–in points</w:t>
      </w:r>
      <w:r w:rsidR="00453ED0">
        <w:t>. T</w:t>
      </w:r>
      <w:r>
        <w:t xml:space="preserve">here is therefore the </w:t>
      </w:r>
      <w:r w:rsidR="00453ED0">
        <w:t>means</w:t>
      </w:r>
      <w:r>
        <w:t xml:space="preserve"> to use temporary supply of Nitrogen. </w:t>
      </w:r>
    </w:p>
    <w:p w14:paraId="0C70DEFB" w14:textId="5DD58A68" w:rsidR="006A6F4C" w:rsidRDefault="006A6F4C" w:rsidP="003C14E5">
      <w:pPr>
        <w:pStyle w:val="ListBullet"/>
        <w:ind w:left="1276" w:hanging="567"/>
      </w:pPr>
      <w:r>
        <w:t>The COGM transits the site and includes routes that have implications for other operators on site</w:t>
      </w:r>
      <w:r w:rsidR="00C30C10">
        <w:t xml:space="preserve">, </w:t>
      </w:r>
      <w:r>
        <w:t xml:space="preserve">such as British Steel and the National Rail network. </w:t>
      </w:r>
    </w:p>
    <w:p w14:paraId="6126F768" w14:textId="77777777" w:rsidR="006A6F4C" w:rsidRDefault="006A6F4C" w:rsidP="003C14E5">
      <w:pPr>
        <w:pStyle w:val="ListBullet"/>
        <w:ind w:left="1276" w:hanging="567"/>
      </w:pPr>
      <w:r>
        <w:t xml:space="preserve">Access to the COGM can be difficult due to the elevated and underground sections and the fact that areas of the site are remote and are covered with vegetation. </w:t>
      </w:r>
    </w:p>
    <w:p w14:paraId="2EEE41C6" w14:textId="0F469DA2" w:rsidR="006A6F4C" w:rsidRDefault="00F26637" w:rsidP="003C14E5">
      <w:pPr>
        <w:pStyle w:val="ListBullet"/>
        <w:ind w:left="1276" w:hanging="567"/>
      </w:pPr>
      <w:r>
        <w:t>The r</w:t>
      </w:r>
      <w:r w:rsidR="006A6F4C">
        <w:t>emainder of</w:t>
      </w:r>
      <w:r>
        <w:t xml:space="preserve"> the</w:t>
      </w:r>
      <w:r w:rsidR="006A6F4C">
        <w:t xml:space="preserve"> RCO and SBCO </w:t>
      </w:r>
      <w:r w:rsidR="006B0AFB">
        <w:t>b</w:t>
      </w:r>
      <w:r w:rsidR="006A6F4C">
        <w:t>y</w:t>
      </w:r>
      <w:r w:rsidR="00AB7A3E">
        <w:t>-</w:t>
      </w:r>
      <w:r w:rsidR="006A6F4C">
        <w:t>product recovery vessels are not under a N</w:t>
      </w:r>
      <w:r w:rsidR="00955BA1">
        <w:t>itrogen</w:t>
      </w:r>
      <w:r w:rsidR="006A6F4C">
        <w:t xml:space="preserve"> blanket but are periodically purged with Nitrogen.</w:t>
      </w:r>
    </w:p>
    <w:p w14:paraId="06EA36EF" w14:textId="7420204E" w:rsidR="006A6F4C" w:rsidRPr="00532F0E" w:rsidRDefault="006A6F4C" w:rsidP="006A033E">
      <w:pPr>
        <w:pStyle w:val="Heading3"/>
        <w:rPr>
          <w:b/>
        </w:rPr>
      </w:pPr>
      <w:r w:rsidRPr="00532F0E">
        <w:rPr>
          <w:rStyle w:val="TitleText"/>
          <w:b w:val="0"/>
        </w:rPr>
        <w:t>Working with Hazardous Substances</w:t>
      </w:r>
      <w:r w:rsidRPr="00532F0E">
        <w:rPr>
          <w:b/>
        </w:rPr>
        <w:t>.</w:t>
      </w:r>
    </w:p>
    <w:p w14:paraId="4F6F0887" w14:textId="28D71145" w:rsidR="006A6F4C" w:rsidRDefault="006A6F4C" w:rsidP="003C14E5">
      <w:pPr>
        <w:pStyle w:val="ListBullet"/>
        <w:ind w:left="1276" w:hanging="567"/>
      </w:pPr>
      <w:r>
        <w:t xml:space="preserve">The composition of COGM Wash Solids varies depending on the source of the gas/deposit </w:t>
      </w:r>
      <w:proofErr w:type="gramStart"/>
      <w:r>
        <w:t>and also</w:t>
      </w:r>
      <w:proofErr w:type="gramEnd"/>
      <w:r>
        <w:t xml:space="preserve"> the history of the section of COGM piping in question. The SBCO by-product </w:t>
      </w:r>
      <w:r w:rsidR="002B6496">
        <w:t>COG</w:t>
      </w:r>
      <w:r>
        <w:t xml:space="preserve"> stream plant has had basic process cleaning but has NOT been through Desulphurisation treatment and will therefore have a high Sulphur content.</w:t>
      </w:r>
    </w:p>
    <w:p w14:paraId="2C5D5180" w14:textId="77777777" w:rsidR="006A6F4C" w:rsidRDefault="006A6F4C" w:rsidP="003C14E5">
      <w:pPr>
        <w:pStyle w:val="ListBullet"/>
        <w:ind w:left="1276" w:hanging="567"/>
      </w:pPr>
      <w:r>
        <w:t xml:space="preserve">In all instances the COG deposits, initially coming from the SBCO by-product plant gas stream, will be high in Naphthalene with traces of other organics (Benzene, Toluene, etc.) and relatively low in the heavier compounds (Coal Tar etc.) these deposits would appear like white flakes. The sulphur content is </w:t>
      </w:r>
      <w:proofErr w:type="gramStart"/>
      <w:r>
        <w:t>higher</w:t>
      </w:r>
      <w:proofErr w:type="gramEnd"/>
      <w:r>
        <w:t xml:space="preserve"> and the colour can be yellow or green. </w:t>
      </w:r>
    </w:p>
    <w:p w14:paraId="6037D9B0" w14:textId="3B7EBF95" w:rsidR="006A6F4C" w:rsidRDefault="006A6F4C" w:rsidP="003C14E5">
      <w:pPr>
        <w:pStyle w:val="ListBullet"/>
        <w:ind w:left="1276" w:hanging="567"/>
      </w:pPr>
      <w:r>
        <w:t>If the COGM pipework is cleaned by “steaming”, the volatile components will be vaporised and the heavier compounds (with higher vaporisation and boiling temperatures) will be left behind</w:t>
      </w:r>
      <w:r w:rsidR="00453ED0">
        <w:t>. This</w:t>
      </w:r>
      <w:r>
        <w:t xml:space="preserve"> could result in deposits very low in Naphthalene but high in Sulphur and Coal Tar. Those deposits can appear like black Tar or hard black solids </w:t>
      </w:r>
      <w:proofErr w:type="gramStart"/>
      <w:r>
        <w:t>similar to</w:t>
      </w:r>
      <w:proofErr w:type="gramEnd"/>
      <w:r>
        <w:t xml:space="preserve"> Coal or Coke. </w:t>
      </w:r>
    </w:p>
    <w:p w14:paraId="7DC2C25A" w14:textId="666E6488" w:rsidR="006A6F4C" w:rsidRDefault="006A6F4C" w:rsidP="003C14E5">
      <w:pPr>
        <w:pStyle w:val="ListBullet"/>
        <w:ind w:left="1276" w:hanging="567"/>
      </w:pPr>
      <w:r>
        <w:t xml:space="preserve">In all instances of working with COG </w:t>
      </w:r>
      <w:r w:rsidR="00D6727A">
        <w:t>by-products</w:t>
      </w:r>
      <w:r>
        <w:t xml:space="preserve"> contractors must adhere to all instructions detailed in Material Safety Data Sheets &amp; </w:t>
      </w:r>
      <w:r w:rsidR="009D3CBA" w:rsidRPr="009D3CBA">
        <w:t>Control of Substances Hazardous to Health (</w:t>
      </w:r>
      <w:r>
        <w:t>COSHH</w:t>
      </w:r>
      <w:r w:rsidR="00BE5F04">
        <w:t>)</w:t>
      </w:r>
      <w:r>
        <w:t xml:space="preserve"> Assessments in the attachments below. </w:t>
      </w:r>
    </w:p>
    <w:p w14:paraId="262FB4C1" w14:textId="77777777" w:rsidR="006A6F4C" w:rsidRDefault="006A6F4C" w:rsidP="003C14E5">
      <w:pPr>
        <w:pStyle w:val="ListBullet"/>
        <w:ind w:left="1276" w:hanging="567"/>
      </w:pPr>
      <w:r>
        <w:t>Control Measures, aimed at limiting personal exposure, are used prior to high Pressure Water Jetting taking place; these include a Nitrogen purge of the COGM.</w:t>
      </w:r>
    </w:p>
    <w:p w14:paraId="282B92E6" w14:textId="77777777" w:rsidR="006A6F4C" w:rsidRDefault="006A6F4C" w:rsidP="003C14E5">
      <w:pPr>
        <w:pStyle w:val="ListBullet"/>
        <w:ind w:left="1276" w:hanging="567"/>
      </w:pPr>
      <w:r>
        <w:t xml:space="preserve">To avoid </w:t>
      </w:r>
      <w:proofErr w:type="gramStart"/>
      <w:r>
        <w:t>skin</w:t>
      </w:r>
      <w:proofErr w:type="gramEnd"/>
      <w:r>
        <w:t xml:space="preserve"> contact the wearing of impermeable protective clothing and gloves is required. Disposable </w:t>
      </w:r>
      <w:proofErr w:type="spellStart"/>
      <w:r>
        <w:t>oversuits</w:t>
      </w:r>
      <w:proofErr w:type="spellEnd"/>
      <w:r>
        <w:t xml:space="preserve"> and PVC coated gloves may be suitable. Proprietary UV barrier creams may be useful as a barrier to prevent skin irritation, particularly in hot, sunny conditions.</w:t>
      </w:r>
    </w:p>
    <w:p w14:paraId="1FA91909" w14:textId="77777777" w:rsidR="006A6F4C" w:rsidRDefault="006A6F4C" w:rsidP="003C14E5">
      <w:pPr>
        <w:pStyle w:val="ListBullet"/>
        <w:ind w:left="1276" w:hanging="567"/>
      </w:pPr>
      <w:r>
        <w:t>Contractors must adhere to Current Occupational Exposure Limits.</w:t>
      </w:r>
    </w:p>
    <w:p w14:paraId="6289E86C" w14:textId="0F238C71" w:rsidR="006A6F4C" w:rsidRDefault="006A6F4C" w:rsidP="003C14E5">
      <w:pPr>
        <w:pStyle w:val="ListBullet"/>
        <w:ind w:left="1276" w:hanging="567"/>
      </w:pPr>
      <w:r>
        <w:t xml:space="preserve">To ensure the Occupational Exposure Limit is not exceeded when vapour is generated, adequate ventilation may </w:t>
      </w:r>
      <w:r w:rsidR="00453ED0">
        <w:t xml:space="preserve">need to </w:t>
      </w:r>
      <w:r>
        <w:t xml:space="preserve">be provided, if necessary, including local exhaust ventilation. </w:t>
      </w:r>
    </w:p>
    <w:p w14:paraId="0EB14757" w14:textId="77777777" w:rsidR="006A6F4C" w:rsidRDefault="006A6F4C" w:rsidP="003C14E5">
      <w:pPr>
        <w:pStyle w:val="ListBullet"/>
        <w:ind w:left="1276" w:hanging="567"/>
      </w:pPr>
      <w:r>
        <w:t xml:space="preserve">Alternatively, where necessary, suitable respiratory protective equipment must be provided for use by those at risk from inhalation of vapour. </w:t>
      </w:r>
    </w:p>
    <w:p w14:paraId="289D849B" w14:textId="77777777" w:rsidR="00453ED0" w:rsidRDefault="006A6F4C" w:rsidP="003C14E5">
      <w:pPr>
        <w:pStyle w:val="ListBullet"/>
        <w:ind w:left="1276" w:hanging="567"/>
      </w:pPr>
      <w:r>
        <w:t>Suitable Protective Clothing and Eye Protection must be worn to prevent skin and eye contact.</w:t>
      </w:r>
    </w:p>
    <w:p w14:paraId="72499AC9" w14:textId="7D444EEA" w:rsidR="006A6F4C" w:rsidRPr="00453ED0" w:rsidRDefault="00453ED0" w:rsidP="00453ED0">
      <w:pPr>
        <w:spacing w:after="200" w:line="276" w:lineRule="auto"/>
        <w:rPr>
          <w:color w:val="auto"/>
        </w:rPr>
      </w:pPr>
      <w:r>
        <w:br w:type="page"/>
      </w:r>
    </w:p>
    <w:p w14:paraId="5C1F54AE" w14:textId="4224B56D" w:rsidR="00BB109F" w:rsidRDefault="00BB109F" w:rsidP="00E80A2D">
      <w:pPr>
        <w:pStyle w:val="Heading1"/>
      </w:pPr>
      <w:bookmarkStart w:id="2" w:name="_Ref525303249"/>
      <w:bookmarkStart w:id="3" w:name="_Ref525303265"/>
      <w:bookmarkStart w:id="4" w:name="_Toc527988010"/>
      <w:r>
        <w:lastRenderedPageBreak/>
        <w:t>Performance Specification</w:t>
      </w:r>
      <w:bookmarkEnd w:id="2"/>
      <w:bookmarkEnd w:id="3"/>
      <w:bookmarkEnd w:id="4"/>
    </w:p>
    <w:p w14:paraId="5626F09D" w14:textId="2D28B1FE" w:rsidR="006304DD" w:rsidRDefault="006304DD" w:rsidP="00BB109F">
      <w:pPr>
        <w:pStyle w:val="Heading2"/>
        <w:rPr>
          <w:rStyle w:val="TitleText"/>
          <w:b w:val="0"/>
        </w:rPr>
      </w:pPr>
      <w:r w:rsidRPr="006304DD">
        <w:rPr>
          <w:rStyle w:val="TitleText"/>
        </w:rPr>
        <w:t>Definitions</w:t>
      </w:r>
      <w:r>
        <w:rPr>
          <w:rStyle w:val="TitleText"/>
          <w:b w:val="0"/>
        </w:rPr>
        <w:t>:</w:t>
      </w:r>
    </w:p>
    <w:p w14:paraId="239DC128" w14:textId="31D69B8F" w:rsidR="005F18B5" w:rsidRPr="005F18B5" w:rsidRDefault="005F18B5" w:rsidP="003C14E5">
      <w:pPr>
        <w:pStyle w:val="Heading3"/>
        <w:ind w:left="770" w:hanging="770"/>
        <w:rPr>
          <w:rStyle w:val="TitleText"/>
          <w:b w:val="0"/>
        </w:rPr>
      </w:pPr>
      <w:r w:rsidRPr="000247B0">
        <w:rPr>
          <w:rStyle w:val="TitleText"/>
        </w:rPr>
        <w:t>Contents and Arisings</w:t>
      </w:r>
      <w:r w:rsidRPr="005F18B5">
        <w:rPr>
          <w:rStyle w:val="TitleText"/>
          <w:b w:val="0"/>
        </w:rPr>
        <w:t xml:space="preserve">.  Contents and Arisings </w:t>
      </w:r>
      <w:r w:rsidR="001C0D40">
        <w:rPr>
          <w:rStyle w:val="TitleText"/>
          <w:b w:val="0"/>
        </w:rPr>
        <w:t xml:space="preserve">are </w:t>
      </w:r>
      <w:r w:rsidRPr="005F18B5">
        <w:rPr>
          <w:rStyle w:val="TitleText"/>
          <w:b w:val="0"/>
        </w:rPr>
        <w:t>all waste material generated by the decontamination including:</w:t>
      </w:r>
    </w:p>
    <w:p w14:paraId="7607D3F3" w14:textId="77777777" w:rsidR="005F18B5" w:rsidRPr="005F18B5" w:rsidRDefault="005F18B5" w:rsidP="003C14E5">
      <w:pPr>
        <w:pStyle w:val="ListBullet"/>
        <w:ind w:left="1276" w:hanging="567"/>
        <w:rPr>
          <w:rStyle w:val="TitleText"/>
          <w:b w:val="0"/>
        </w:rPr>
      </w:pPr>
      <w:r w:rsidRPr="005F18B5">
        <w:rPr>
          <w:rStyle w:val="TitleText"/>
          <w:b w:val="0"/>
        </w:rPr>
        <w:t>arising from processing water contaminated during decontamination.</w:t>
      </w:r>
    </w:p>
    <w:p w14:paraId="255B08DD" w14:textId="77777777" w:rsidR="005F18B5" w:rsidRPr="005F18B5" w:rsidRDefault="005F18B5" w:rsidP="003C14E5">
      <w:pPr>
        <w:pStyle w:val="ListBullet"/>
        <w:ind w:left="1276" w:hanging="567"/>
        <w:rPr>
          <w:rStyle w:val="TitleText"/>
          <w:b w:val="0"/>
        </w:rPr>
      </w:pPr>
      <w:r w:rsidRPr="005F18B5">
        <w:rPr>
          <w:rStyle w:val="TitleText"/>
          <w:b w:val="0"/>
        </w:rPr>
        <w:t xml:space="preserve">waste material </w:t>
      </w:r>
      <w:r w:rsidRPr="00E32824">
        <w:rPr>
          <w:rStyle w:val="TitleText"/>
          <w:b w:val="0"/>
        </w:rPr>
        <w:t>from</w:t>
      </w:r>
      <w:r w:rsidRPr="005F18B5">
        <w:rPr>
          <w:rStyle w:val="TitleText"/>
          <w:b w:val="0"/>
        </w:rPr>
        <w:t xml:space="preserve"> other processes that the Project Manager instructs the Contractor to treat as Contents and Arisings.</w:t>
      </w:r>
    </w:p>
    <w:p w14:paraId="306FDC3B" w14:textId="14881114" w:rsidR="005F18B5" w:rsidRPr="005F18B5" w:rsidRDefault="005F18B5" w:rsidP="003C14E5">
      <w:pPr>
        <w:pStyle w:val="Heading3"/>
        <w:ind w:left="770" w:hanging="770"/>
        <w:rPr>
          <w:rStyle w:val="TitleText"/>
          <w:b w:val="0"/>
        </w:rPr>
      </w:pPr>
      <w:r w:rsidRPr="008245AC">
        <w:rPr>
          <w:rStyle w:val="TitleText"/>
        </w:rPr>
        <w:t>Process Equipment</w:t>
      </w:r>
      <w:r w:rsidRPr="005F18B5">
        <w:rPr>
          <w:rStyle w:val="TitleText"/>
          <w:b w:val="0"/>
        </w:rPr>
        <w:t xml:space="preserve">.  Process Equipment </w:t>
      </w:r>
      <w:r w:rsidR="001C0D40">
        <w:rPr>
          <w:rStyle w:val="TitleText"/>
          <w:b w:val="0"/>
        </w:rPr>
        <w:t>are</w:t>
      </w:r>
      <w:r w:rsidRPr="005F18B5">
        <w:rPr>
          <w:rStyle w:val="TitleText"/>
          <w:b w:val="0"/>
        </w:rPr>
        <w:t xml:space="preserve"> those components of the process infrastructure that the Contractor is to decontaminate.</w:t>
      </w:r>
    </w:p>
    <w:p w14:paraId="17AD3F13" w14:textId="72E1532B" w:rsidR="006304DD" w:rsidRPr="005F18B5" w:rsidRDefault="00F851A7" w:rsidP="003C14E5">
      <w:pPr>
        <w:pStyle w:val="Heading3"/>
        <w:ind w:left="770" w:hanging="770"/>
        <w:rPr>
          <w:rStyle w:val="TitleText"/>
          <w:b w:val="0"/>
        </w:rPr>
      </w:pPr>
      <w:r>
        <w:rPr>
          <w:rStyle w:val="TitleText"/>
        </w:rPr>
        <w:t>Top</w:t>
      </w:r>
      <w:r w:rsidR="005F18B5" w:rsidRPr="00714A1A">
        <w:rPr>
          <w:rStyle w:val="TitleText"/>
        </w:rPr>
        <w:t xml:space="preserve"> Tier </w:t>
      </w:r>
      <w:r w:rsidR="00D6727A">
        <w:rPr>
          <w:rStyle w:val="TitleText"/>
        </w:rPr>
        <w:t>COMAH</w:t>
      </w:r>
      <w:r w:rsidR="005F18B5" w:rsidRPr="00714A1A">
        <w:rPr>
          <w:rStyle w:val="TitleText"/>
        </w:rPr>
        <w:t xml:space="preserve"> Substances</w:t>
      </w:r>
      <w:r w:rsidR="005F18B5" w:rsidRPr="005F18B5">
        <w:rPr>
          <w:rStyle w:val="TitleText"/>
          <w:b w:val="0"/>
        </w:rPr>
        <w:t xml:space="preserve">.  </w:t>
      </w:r>
      <w:r>
        <w:rPr>
          <w:rStyle w:val="TitleText"/>
          <w:b w:val="0"/>
        </w:rPr>
        <w:t>Top</w:t>
      </w:r>
      <w:r w:rsidR="007B759B" w:rsidRPr="007B759B">
        <w:rPr>
          <w:rStyle w:val="TitleText"/>
          <w:b w:val="0"/>
        </w:rPr>
        <w:t xml:space="preserve"> Tier </w:t>
      </w:r>
      <w:r w:rsidR="00D6727A">
        <w:rPr>
          <w:rStyle w:val="TitleText"/>
          <w:b w:val="0"/>
        </w:rPr>
        <w:t>COMAH</w:t>
      </w:r>
      <w:r w:rsidR="007B759B" w:rsidRPr="007B759B">
        <w:rPr>
          <w:rStyle w:val="TitleText"/>
          <w:b w:val="0"/>
        </w:rPr>
        <w:t xml:space="preserve"> substances </w:t>
      </w:r>
      <w:r w:rsidR="007B759B">
        <w:rPr>
          <w:rStyle w:val="TitleText"/>
          <w:b w:val="0"/>
        </w:rPr>
        <w:t xml:space="preserve">are those substances </w:t>
      </w:r>
      <w:r w:rsidR="002D1C46">
        <w:rPr>
          <w:rStyle w:val="TitleText"/>
          <w:b w:val="0"/>
        </w:rPr>
        <w:t>found in the Contents and Arisings</w:t>
      </w:r>
      <w:r w:rsidR="00846C0B">
        <w:rPr>
          <w:rStyle w:val="TitleText"/>
          <w:b w:val="0"/>
        </w:rPr>
        <w:t xml:space="preserve"> </w:t>
      </w:r>
      <w:r w:rsidR="00B8018B">
        <w:rPr>
          <w:rStyle w:val="TitleText"/>
          <w:b w:val="0"/>
        </w:rPr>
        <w:t xml:space="preserve">and Process Equipment </w:t>
      </w:r>
      <w:r w:rsidR="00846C0B">
        <w:rPr>
          <w:rStyle w:val="TitleText"/>
          <w:b w:val="0"/>
        </w:rPr>
        <w:t xml:space="preserve">that make the STSC site </w:t>
      </w:r>
      <w:r w:rsidR="00C37CF0">
        <w:rPr>
          <w:rStyle w:val="TitleText"/>
          <w:b w:val="0"/>
        </w:rPr>
        <w:t xml:space="preserve">a </w:t>
      </w:r>
      <w:r>
        <w:rPr>
          <w:rStyle w:val="TitleText"/>
          <w:b w:val="0"/>
        </w:rPr>
        <w:t>Top</w:t>
      </w:r>
      <w:r w:rsidR="00C37CF0">
        <w:rPr>
          <w:rStyle w:val="TitleText"/>
          <w:b w:val="0"/>
        </w:rPr>
        <w:t xml:space="preserve"> Tier site under the </w:t>
      </w:r>
      <w:r w:rsidR="00D6727A">
        <w:rPr>
          <w:rStyle w:val="TitleText"/>
          <w:b w:val="0"/>
        </w:rPr>
        <w:t>COMAH</w:t>
      </w:r>
      <w:r w:rsidR="00C37CF0">
        <w:rPr>
          <w:rStyle w:val="TitleText"/>
          <w:b w:val="0"/>
        </w:rPr>
        <w:t xml:space="preserve"> regulations</w:t>
      </w:r>
      <w:r w:rsidR="005F18B5" w:rsidRPr="005F18B5">
        <w:rPr>
          <w:rStyle w:val="TitleText"/>
          <w:b w:val="0"/>
        </w:rPr>
        <w:t>.</w:t>
      </w:r>
    </w:p>
    <w:p w14:paraId="5A24925C" w14:textId="770A0321" w:rsidR="002C6F08" w:rsidRPr="002C6F08" w:rsidRDefault="002C6F08" w:rsidP="003C14E5">
      <w:pPr>
        <w:pStyle w:val="Heading2"/>
        <w:ind w:left="770" w:hanging="770"/>
        <w:rPr>
          <w:rStyle w:val="TitleText"/>
          <w:b w:val="0"/>
        </w:rPr>
      </w:pPr>
      <w:r>
        <w:rPr>
          <w:rStyle w:val="TitleText"/>
        </w:rPr>
        <w:t>Decontamination</w:t>
      </w:r>
      <w:r w:rsidRPr="002C6F08">
        <w:t>.</w:t>
      </w:r>
    </w:p>
    <w:p w14:paraId="480FAF5C" w14:textId="11CE1D58" w:rsidR="002C6F08" w:rsidRDefault="002C6F08" w:rsidP="003C14E5">
      <w:pPr>
        <w:pStyle w:val="Heading3"/>
        <w:ind w:left="770" w:hanging="770"/>
      </w:pPr>
      <w:r w:rsidRPr="002C6F08">
        <w:rPr>
          <w:rStyle w:val="TitleText"/>
        </w:rPr>
        <w:t>South Bank Coke Oven</w:t>
      </w:r>
      <w:r>
        <w:t xml:space="preserve">.  The </w:t>
      </w:r>
      <w:r w:rsidRPr="00626BC2">
        <w:rPr>
          <w:i/>
        </w:rPr>
        <w:t>Contractor</w:t>
      </w:r>
      <w:r>
        <w:t xml:space="preserve"> is to deco</w:t>
      </w:r>
      <w:r w:rsidR="00453ED0">
        <w:t>ntamin</w:t>
      </w:r>
      <w:r>
        <w:t xml:space="preserve">ate the </w:t>
      </w:r>
      <w:r w:rsidR="00626BC2">
        <w:t xml:space="preserve">SBCO.  The SBCO is defined </w:t>
      </w:r>
      <w:r w:rsidR="0093473C">
        <w:t xml:space="preserve">in </w:t>
      </w:r>
      <w:r w:rsidR="00102062">
        <w:fldChar w:fldCharType="begin"/>
      </w:r>
      <w:r w:rsidR="00102062">
        <w:instrText xml:space="preserve"> REF _Ref525297004 \r \h </w:instrText>
      </w:r>
      <w:r w:rsidR="00102062">
        <w:fldChar w:fldCharType="separate"/>
      </w:r>
      <w:r w:rsidR="00102062">
        <w:t>Appendix 1</w:t>
      </w:r>
      <w:r w:rsidR="00102062">
        <w:fldChar w:fldCharType="end"/>
      </w:r>
      <w:r w:rsidR="00626BC2">
        <w:t>.</w:t>
      </w:r>
      <w:r w:rsidR="00DB0F26">
        <w:t xml:space="preserve">  The </w:t>
      </w:r>
      <w:r w:rsidR="00DB0F26" w:rsidRPr="00DB0F26">
        <w:rPr>
          <w:i/>
        </w:rPr>
        <w:t>Project Manager</w:t>
      </w:r>
      <w:r w:rsidR="00DB0F26">
        <w:t xml:space="preserve"> may instruct </w:t>
      </w:r>
      <w:r w:rsidR="009A71E2">
        <w:t>changes to this definition prior to issuing the Notice to Proceed to Stage Two.</w:t>
      </w:r>
    </w:p>
    <w:p w14:paraId="1FABF7D3" w14:textId="5F31A8BC" w:rsidR="00626BC2" w:rsidRDefault="002C6F08" w:rsidP="003C14E5">
      <w:pPr>
        <w:pStyle w:val="Heading3"/>
        <w:ind w:left="770" w:hanging="770"/>
      </w:pPr>
      <w:r w:rsidRPr="002C6F08">
        <w:rPr>
          <w:rStyle w:val="TitleText"/>
        </w:rPr>
        <w:t>Coke Oven Gas Main</w:t>
      </w:r>
      <w:r>
        <w:t>.</w:t>
      </w:r>
      <w:r w:rsidR="00626BC2">
        <w:t xml:space="preserve">  The </w:t>
      </w:r>
      <w:r w:rsidR="00626BC2" w:rsidRPr="00626BC2">
        <w:rPr>
          <w:i/>
        </w:rPr>
        <w:t>Contractor</w:t>
      </w:r>
      <w:r w:rsidR="00626BC2">
        <w:t xml:space="preserve"> is to </w:t>
      </w:r>
      <w:r w:rsidR="002B6496">
        <w:t xml:space="preserve">decontaminate </w:t>
      </w:r>
      <w:r w:rsidR="00626BC2">
        <w:t xml:space="preserve">the </w:t>
      </w:r>
      <w:r w:rsidR="00DB0F26">
        <w:t>COGM</w:t>
      </w:r>
      <w:r w:rsidR="00626BC2">
        <w:t xml:space="preserve">.  The </w:t>
      </w:r>
      <w:r w:rsidR="000C7C58">
        <w:t xml:space="preserve">COGM </w:t>
      </w:r>
      <w:r w:rsidR="00626BC2">
        <w:t xml:space="preserve">is defined as </w:t>
      </w:r>
      <w:r w:rsidR="0093473C">
        <w:t xml:space="preserve">in </w:t>
      </w:r>
      <w:r w:rsidR="00102062">
        <w:fldChar w:fldCharType="begin"/>
      </w:r>
      <w:r w:rsidR="00102062">
        <w:instrText xml:space="preserve"> REF _Ref525297020 \r \h </w:instrText>
      </w:r>
      <w:r w:rsidR="00102062">
        <w:fldChar w:fldCharType="separate"/>
      </w:r>
      <w:r w:rsidR="00102062">
        <w:t>Appendix 2</w:t>
      </w:r>
      <w:r w:rsidR="00102062">
        <w:fldChar w:fldCharType="end"/>
      </w:r>
      <w:r w:rsidR="00626BC2">
        <w:t>.</w:t>
      </w:r>
      <w:r w:rsidR="000C7C58" w:rsidRPr="000C7C58">
        <w:t xml:space="preserve"> </w:t>
      </w:r>
      <w:r w:rsidR="000C7C58">
        <w:t xml:space="preserve">The </w:t>
      </w:r>
      <w:r w:rsidR="000C7C58" w:rsidRPr="00DB0F26">
        <w:rPr>
          <w:i/>
        </w:rPr>
        <w:t>Project Manager</w:t>
      </w:r>
      <w:r w:rsidR="000C7C58">
        <w:t xml:space="preserve"> may instruct changes to this definition prior to issuing the Notice to Proceed to Stage Two.</w:t>
      </w:r>
    </w:p>
    <w:p w14:paraId="20BEA26C" w14:textId="4F9FDDDA" w:rsidR="002C6F08" w:rsidRDefault="002C6F08" w:rsidP="003C14E5">
      <w:pPr>
        <w:pStyle w:val="Heading3"/>
        <w:ind w:left="770" w:hanging="770"/>
      </w:pPr>
      <w:r w:rsidRPr="002C6F08">
        <w:rPr>
          <w:rStyle w:val="TitleText"/>
        </w:rPr>
        <w:t>Heavy Fuel Oil Main</w:t>
      </w:r>
      <w:r>
        <w:t>.</w:t>
      </w:r>
      <w:r w:rsidR="000C7C58" w:rsidRPr="000C7C58">
        <w:t xml:space="preserve"> </w:t>
      </w:r>
      <w:r w:rsidR="000C7C58">
        <w:t xml:space="preserve">The </w:t>
      </w:r>
      <w:r w:rsidR="000C7C58" w:rsidRPr="00626BC2">
        <w:rPr>
          <w:i/>
        </w:rPr>
        <w:t>Contractor</w:t>
      </w:r>
      <w:r w:rsidR="000C7C58">
        <w:t xml:space="preserve"> is to </w:t>
      </w:r>
      <w:r w:rsidR="002B6496">
        <w:t>decontaminate</w:t>
      </w:r>
      <w:r w:rsidR="000C7C58">
        <w:t xml:space="preserve"> the </w:t>
      </w:r>
      <w:r w:rsidR="00136C94">
        <w:t>HFO</w:t>
      </w:r>
      <w:r w:rsidR="000C7C58">
        <w:t xml:space="preserve">.  The </w:t>
      </w:r>
      <w:r w:rsidR="00136C94">
        <w:t xml:space="preserve">HFO </w:t>
      </w:r>
      <w:r w:rsidR="000C7C58">
        <w:t xml:space="preserve">is defined as </w:t>
      </w:r>
      <w:r w:rsidR="0093473C">
        <w:t xml:space="preserve">in </w:t>
      </w:r>
      <w:r w:rsidR="00102062">
        <w:fldChar w:fldCharType="begin"/>
      </w:r>
      <w:r w:rsidR="00102062">
        <w:instrText xml:space="preserve"> REF _Ref525297025 \r \h </w:instrText>
      </w:r>
      <w:r w:rsidR="00102062">
        <w:fldChar w:fldCharType="separate"/>
      </w:r>
      <w:r w:rsidR="00102062">
        <w:t>Appendix 3</w:t>
      </w:r>
      <w:r w:rsidR="00102062">
        <w:fldChar w:fldCharType="end"/>
      </w:r>
      <w:r w:rsidR="000C7C58">
        <w:t>.</w:t>
      </w:r>
      <w:r w:rsidR="000C7C58" w:rsidRPr="000C7C58">
        <w:t xml:space="preserve"> </w:t>
      </w:r>
      <w:r w:rsidR="000C7C58">
        <w:t xml:space="preserve">The </w:t>
      </w:r>
      <w:r w:rsidR="000C7C58" w:rsidRPr="00DB0F26">
        <w:rPr>
          <w:i/>
        </w:rPr>
        <w:t>Project Manager</w:t>
      </w:r>
      <w:r w:rsidR="000C7C58">
        <w:t xml:space="preserve"> may instruct changes to this definition prior to issuing the Notice to Proceed to Stage Two.</w:t>
      </w:r>
    </w:p>
    <w:p w14:paraId="4BA8C041" w14:textId="296D87AB" w:rsidR="008109E8" w:rsidRDefault="002C6F08" w:rsidP="003C14E5">
      <w:pPr>
        <w:pStyle w:val="Heading3"/>
        <w:ind w:left="770" w:hanging="770"/>
      </w:pPr>
      <w:r w:rsidRPr="002C6F08">
        <w:rPr>
          <w:rStyle w:val="TitleText"/>
        </w:rPr>
        <w:t>Redcar Coke Oven</w:t>
      </w:r>
      <w:r>
        <w:t>.</w:t>
      </w:r>
      <w:r w:rsidR="00136C94" w:rsidRPr="00136C94">
        <w:t xml:space="preserve"> </w:t>
      </w:r>
      <w:r w:rsidR="00136C94">
        <w:t xml:space="preserve">The </w:t>
      </w:r>
      <w:r w:rsidR="00136C94" w:rsidRPr="00626BC2">
        <w:rPr>
          <w:i/>
        </w:rPr>
        <w:t>Contractor</w:t>
      </w:r>
      <w:r w:rsidR="00136C94">
        <w:t xml:space="preserve"> is to </w:t>
      </w:r>
      <w:r w:rsidR="002B6496">
        <w:t>decontaminate</w:t>
      </w:r>
      <w:r w:rsidR="00136C94">
        <w:t xml:space="preserve"> the RCO.  The RCO is defined as </w:t>
      </w:r>
      <w:r w:rsidR="0093473C">
        <w:t xml:space="preserve">in </w:t>
      </w:r>
      <w:r w:rsidR="00102062">
        <w:fldChar w:fldCharType="begin"/>
      </w:r>
      <w:r w:rsidR="00102062">
        <w:instrText xml:space="preserve"> REF _Ref525297031 \r \h </w:instrText>
      </w:r>
      <w:r w:rsidR="00102062">
        <w:fldChar w:fldCharType="separate"/>
      </w:r>
      <w:r w:rsidR="00102062">
        <w:t>Appendix 4</w:t>
      </w:r>
      <w:r w:rsidR="00102062">
        <w:fldChar w:fldCharType="end"/>
      </w:r>
      <w:r w:rsidR="00136C94">
        <w:t>.</w:t>
      </w:r>
      <w:r w:rsidR="00136C94" w:rsidRPr="000C7C58">
        <w:t xml:space="preserve"> </w:t>
      </w:r>
      <w:r w:rsidR="00136C94">
        <w:t xml:space="preserve">The </w:t>
      </w:r>
      <w:r w:rsidR="00136C94" w:rsidRPr="00DB0F26">
        <w:rPr>
          <w:i/>
        </w:rPr>
        <w:t>Project Manager</w:t>
      </w:r>
      <w:r w:rsidR="00136C94">
        <w:t xml:space="preserve"> may instruct changes to this definition prior to issuing the Notice to Proceed to Stage Two.</w:t>
      </w:r>
    </w:p>
    <w:p w14:paraId="6403AB41" w14:textId="58E2D44D" w:rsidR="00BD5069" w:rsidRDefault="006D6C8D" w:rsidP="003C14E5">
      <w:pPr>
        <w:pStyle w:val="Heading3"/>
        <w:ind w:left="770" w:hanging="770"/>
      </w:pPr>
      <w:r w:rsidRPr="00766714">
        <w:rPr>
          <w:b/>
        </w:rPr>
        <w:t xml:space="preserve">Decontamination of </w:t>
      </w:r>
      <w:r w:rsidR="00BD5069" w:rsidRPr="00766714">
        <w:rPr>
          <w:b/>
        </w:rPr>
        <w:t>above ground process equipment</w:t>
      </w:r>
      <w:r w:rsidR="00BD5069">
        <w:t xml:space="preserve">.  </w:t>
      </w:r>
      <w:r w:rsidR="00766714">
        <w:t xml:space="preserve">The </w:t>
      </w:r>
      <w:r w:rsidR="00766714" w:rsidRPr="000F7D0B">
        <w:rPr>
          <w:i/>
        </w:rPr>
        <w:t>Contractor</w:t>
      </w:r>
      <w:r w:rsidR="00766714">
        <w:t xml:space="preserve"> is to decontaminate all </w:t>
      </w:r>
      <w:r w:rsidR="00BD5069">
        <w:t>above ground process equipment</w:t>
      </w:r>
      <w:r w:rsidR="00D92495">
        <w:t xml:space="preserve"> removing all </w:t>
      </w:r>
      <w:r w:rsidR="00F851A7">
        <w:t>Top</w:t>
      </w:r>
      <w:r w:rsidR="00D92495">
        <w:t xml:space="preserve"> </w:t>
      </w:r>
      <w:r w:rsidR="00F851A7">
        <w:t>T</w:t>
      </w:r>
      <w:r w:rsidR="00D92495">
        <w:t xml:space="preserve">ier </w:t>
      </w:r>
      <w:r w:rsidR="00D6727A">
        <w:t>COMAH</w:t>
      </w:r>
      <w:r w:rsidR="00D92495">
        <w:t xml:space="preserve"> substances and cleaning the process equipment</w:t>
      </w:r>
      <w:r w:rsidR="00BD5069">
        <w:t xml:space="preserve"> to</w:t>
      </w:r>
      <w:r w:rsidR="008B0454">
        <w:t xml:space="preserve"> the standard set out in the </w:t>
      </w:r>
      <w:r w:rsidR="000F053B" w:rsidRPr="000F053B">
        <w:t>United Kingdom specifications for iron and steel scrap</w:t>
      </w:r>
      <w:r w:rsidR="000F053B">
        <w:t xml:space="preserve">. As detailed </w:t>
      </w:r>
      <w:r w:rsidR="00766714">
        <w:t xml:space="preserve">in: </w:t>
      </w:r>
      <w:hyperlink r:id="rId12" w:history="1">
        <w:r w:rsidR="00054693" w:rsidRPr="00695AEB">
          <w:rPr>
            <w:rStyle w:val="Hyperlink"/>
          </w:rPr>
          <w:t>https://www.letsrecycle.com/prices/metals/ferrous-metal-prices/ferrous-grades/</w:t>
        </w:r>
      </w:hyperlink>
      <w:r w:rsidR="00054693">
        <w:t xml:space="preserve"> </w:t>
      </w:r>
    </w:p>
    <w:p w14:paraId="7654CD39" w14:textId="66CAAC8B" w:rsidR="00766714" w:rsidRDefault="00766714" w:rsidP="003C14E5">
      <w:pPr>
        <w:pStyle w:val="Heading3"/>
        <w:ind w:left="770" w:hanging="770"/>
      </w:pPr>
      <w:r>
        <w:rPr>
          <w:b/>
        </w:rPr>
        <w:t xml:space="preserve">Decontamination </w:t>
      </w:r>
      <w:r w:rsidR="00C7467E" w:rsidRPr="00766714">
        <w:rPr>
          <w:b/>
        </w:rPr>
        <w:t xml:space="preserve">of </w:t>
      </w:r>
      <w:r w:rsidR="00C7467E">
        <w:rPr>
          <w:b/>
        </w:rPr>
        <w:t xml:space="preserve">buried </w:t>
      </w:r>
      <w:r w:rsidR="00C7467E" w:rsidRPr="00766714">
        <w:rPr>
          <w:b/>
        </w:rPr>
        <w:t>process equipment</w:t>
      </w:r>
      <w:r w:rsidR="00C7467E">
        <w:t xml:space="preserve">.  The </w:t>
      </w:r>
      <w:r w:rsidR="00C7467E" w:rsidRPr="000F7D0B">
        <w:rPr>
          <w:i/>
        </w:rPr>
        <w:t>Contractor</w:t>
      </w:r>
      <w:r w:rsidR="00C7467E">
        <w:t xml:space="preserve"> is to decontaminate all buried process equipment </w:t>
      </w:r>
      <w:r w:rsidR="0030282A">
        <w:t xml:space="preserve">removing all </w:t>
      </w:r>
      <w:r w:rsidR="00F851A7">
        <w:t>Top</w:t>
      </w:r>
      <w:r w:rsidR="0030282A">
        <w:t xml:space="preserve"> </w:t>
      </w:r>
      <w:r w:rsidR="00F851A7">
        <w:t>T</w:t>
      </w:r>
      <w:r w:rsidR="0030282A">
        <w:t xml:space="preserve">ier </w:t>
      </w:r>
      <w:r w:rsidR="00D6727A">
        <w:t>COMAH</w:t>
      </w:r>
      <w:r w:rsidR="0030282A">
        <w:t xml:space="preserve"> substances and cleaning the process equipment </w:t>
      </w:r>
      <w:r w:rsidR="00C7467E">
        <w:t xml:space="preserve">to the standard set out in the </w:t>
      </w:r>
      <w:r w:rsidR="00C7467E" w:rsidRPr="000F053B">
        <w:t>United Kingdom specifications for iron and steel scrap</w:t>
      </w:r>
      <w:r w:rsidR="0045244F">
        <w:t xml:space="preserve"> unless a strategy </w:t>
      </w:r>
      <w:r w:rsidR="00FB2248">
        <w:t xml:space="preserve">for encapsulation of </w:t>
      </w:r>
      <w:r w:rsidR="00D7066A" w:rsidRPr="00D7066A">
        <w:t>contents and arisings</w:t>
      </w:r>
      <w:r w:rsidR="00FB2248">
        <w:t xml:space="preserve"> in situ has been </w:t>
      </w:r>
      <w:r w:rsidR="000F7D0B">
        <w:t xml:space="preserve">instructed by the </w:t>
      </w:r>
      <w:r w:rsidR="000F7D0B" w:rsidRPr="000F7D0B">
        <w:rPr>
          <w:i/>
        </w:rPr>
        <w:t>Project Manager</w:t>
      </w:r>
      <w:r w:rsidR="000F7D0B">
        <w:t>.</w:t>
      </w:r>
    </w:p>
    <w:p w14:paraId="2166EE9C" w14:textId="1DFABA42" w:rsidR="007B759B" w:rsidRPr="000956DC" w:rsidRDefault="007B759B" w:rsidP="003C14E5">
      <w:pPr>
        <w:pStyle w:val="Heading3"/>
        <w:ind w:left="770" w:hanging="770"/>
      </w:pPr>
      <w:r w:rsidRPr="007B759B">
        <w:rPr>
          <w:rStyle w:val="TitleText"/>
        </w:rPr>
        <w:t>Nitrogen Blanket</w:t>
      </w:r>
      <w:r>
        <w:t xml:space="preserve">.  The </w:t>
      </w:r>
      <w:r w:rsidRPr="00AD1A40">
        <w:rPr>
          <w:i/>
        </w:rPr>
        <w:t>Contractor</w:t>
      </w:r>
      <w:r>
        <w:t xml:space="preserve"> is to maintain the integrity of the nitrogen blanket throughout the works unless the </w:t>
      </w:r>
      <w:r w:rsidRPr="008C2C0F">
        <w:rPr>
          <w:i/>
        </w:rPr>
        <w:t>Project Manager</w:t>
      </w:r>
      <w:r>
        <w:t xml:space="preserve"> has approved the removal of the nitrogen blanket from part or </w:t>
      </w:r>
      <w:proofErr w:type="gramStart"/>
      <w:r>
        <w:t>all of</w:t>
      </w:r>
      <w:proofErr w:type="gramEnd"/>
      <w:r>
        <w:t xml:space="preserve"> the works following decontamination.  Application to amend the nitrogen blanket should be made in accordance with Clause 21.</w:t>
      </w:r>
    </w:p>
    <w:p w14:paraId="1430A2FB" w14:textId="06F13212" w:rsidR="0002085C" w:rsidRDefault="00B41686" w:rsidP="00B41686">
      <w:pPr>
        <w:pStyle w:val="Heading2"/>
      </w:pPr>
      <w:r w:rsidRPr="00B41686">
        <w:rPr>
          <w:rStyle w:val="TitleText"/>
        </w:rPr>
        <w:t>Contractor</w:t>
      </w:r>
      <w:r w:rsidR="0002085C" w:rsidRPr="00B41686">
        <w:rPr>
          <w:rStyle w:val="TitleText"/>
        </w:rPr>
        <w:t xml:space="preserve"> Duties and Responsibilities</w:t>
      </w:r>
      <w:r>
        <w:t>.</w:t>
      </w:r>
    </w:p>
    <w:p w14:paraId="28E92963" w14:textId="7F4B5AD7" w:rsidR="0002085C" w:rsidRDefault="007D3BFD" w:rsidP="0002085C">
      <w:pPr>
        <w:pStyle w:val="Heading2"/>
      </w:pPr>
      <w:r>
        <w:t>T</w:t>
      </w:r>
      <w:r w:rsidR="0002085C">
        <w:t xml:space="preserve">he </w:t>
      </w:r>
      <w:r w:rsidR="00B41686" w:rsidRPr="00B41686">
        <w:rPr>
          <w:i/>
        </w:rPr>
        <w:t>Contractor</w:t>
      </w:r>
      <w:r w:rsidR="0002085C">
        <w:t xml:space="preserve"> will be responsible for</w:t>
      </w:r>
    </w:p>
    <w:p w14:paraId="13E58945" w14:textId="77777777" w:rsidR="0002085C" w:rsidRDefault="0002085C" w:rsidP="003C14E5">
      <w:pPr>
        <w:pStyle w:val="ListBullet"/>
        <w:ind w:left="1276" w:hanging="567"/>
      </w:pPr>
      <w:r>
        <w:t>Duties of Principal Designer under the CDM Regulations</w:t>
      </w:r>
    </w:p>
    <w:p w14:paraId="67CFC86C" w14:textId="7AE5C19B" w:rsidR="0002085C" w:rsidRDefault="0002085C" w:rsidP="003C14E5">
      <w:pPr>
        <w:pStyle w:val="ListBullet"/>
        <w:ind w:left="1276" w:hanging="567"/>
      </w:pPr>
      <w:r>
        <w:t>Duties Principal Contractor under the CDM Regulations</w:t>
      </w:r>
      <w:r w:rsidR="006E368F">
        <w:t xml:space="preserve"> complying with all STSC Procedures as detailed in </w:t>
      </w:r>
      <w:r w:rsidR="00350437">
        <w:fldChar w:fldCharType="begin"/>
      </w:r>
      <w:r w:rsidR="00350437">
        <w:instrText xml:space="preserve"> REF _Ref525297793 \r \h </w:instrText>
      </w:r>
      <w:r w:rsidR="00350437">
        <w:fldChar w:fldCharType="separate"/>
      </w:r>
      <w:r w:rsidR="00350437">
        <w:t>Appendix 6</w:t>
      </w:r>
      <w:r w:rsidR="00350437">
        <w:fldChar w:fldCharType="end"/>
      </w:r>
      <w:r w:rsidR="006E368F" w:rsidRPr="00BB50C8">
        <w:t>.</w:t>
      </w:r>
    </w:p>
    <w:p w14:paraId="2948C575" w14:textId="482E32B8" w:rsidR="0002085C" w:rsidRDefault="0002085C" w:rsidP="003C14E5">
      <w:pPr>
        <w:pStyle w:val="ListBullet"/>
        <w:ind w:left="1276" w:hanging="567"/>
      </w:pPr>
      <w:r>
        <w:lastRenderedPageBreak/>
        <w:t xml:space="preserve">Develop the methodology for cleaning, reprocessing and disposal of contents and arisings in the most </w:t>
      </w:r>
      <w:r w:rsidR="006E368F">
        <w:t>cost-effective</w:t>
      </w:r>
      <w:r>
        <w:t xml:space="preserve"> manor seeking to maximise the opportunity to recycle this material, generating income to offset the cost of the works.</w:t>
      </w:r>
    </w:p>
    <w:p w14:paraId="67CBD465" w14:textId="77777777" w:rsidR="0002085C" w:rsidRDefault="0002085C" w:rsidP="003C14E5">
      <w:pPr>
        <w:pStyle w:val="ListBullet"/>
        <w:ind w:left="1276" w:hanging="567"/>
      </w:pPr>
      <w:r>
        <w:t>Execute the agreed methodology for cleaning, reprocessing and disposal of contents and arisings</w:t>
      </w:r>
    </w:p>
    <w:p w14:paraId="11A01E0E" w14:textId="68829B6C" w:rsidR="0002085C" w:rsidRDefault="0002085C" w:rsidP="003C14E5">
      <w:pPr>
        <w:pStyle w:val="ListBullet"/>
        <w:ind w:left="1276" w:hanging="567"/>
      </w:pPr>
      <w:r>
        <w:t>Develop and execute trials to inform future operations to enable innovation, improve safety, environmental management and cost</w:t>
      </w:r>
      <w:r w:rsidR="006E368F">
        <w:t>-</w:t>
      </w:r>
      <w:r>
        <w:t>effectiveness as well as manage risks.</w:t>
      </w:r>
    </w:p>
    <w:p w14:paraId="46ADC020" w14:textId="503B9A16" w:rsidR="0002085C" w:rsidRDefault="0002085C" w:rsidP="003C14E5">
      <w:pPr>
        <w:pStyle w:val="ListBullet"/>
        <w:ind w:left="1276" w:hanging="567"/>
      </w:pPr>
      <w:r>
        <w:t xml:space="preserve">Develop and execute methodology to treat the </w:t>
      </w:r>
      <w:r w:rsidR="006E368F">
        <w:t>buried</w:t>
      </w:r>
      <w:r>
        <w:t xml:space="preserve"> sections of the </w:t>
      </w:r>
      <w:r w:rsidR="006E368F">
        <w:t xml:space="preserve">COGM </w:t>
      </w:r>
      <w:r>
        <w:t xml:space="preserve">that meets all environmental and safety standards in the safest and most </w:t>
      </w:r>
      <w:r w:rsidR="006E368F">
        <w:t>cost-effective</w:t>
      </w:r>
      <w:r>
        <w:t xml:space="preserve"> manner.  This could include leaving the pipe in situ.  </w:t>
      </w:r>
    </w:p>
    <w:p w14:paraId="1242EE26" w14:textId="4644520A" w:rsidR="0002085C" w:rsidRDefault="0002085C" w:rsidP="003C14E5">
      <w:pPr>
        <w:pStyle w:val="ListBullet"/>
        <w:ind w:left="1276" w:hanging="567"/>
      </w:pPr>
      <w:r>
        <w:t>Carry out the task in a safe manner adhering to all Health &amp; Safety, Environmental regulations</w:t>
      </w:r>
    </w:p>
    <w:p w14:paraId="2CB6ED1D" w14:textId="78CAF078" w:rsidR="0002085C" w:rsidRDefault="0002085C" w:rsidP="003C14E5">
      <w:pPr>
        <w:pStyle w:val="ListBullet"/>
        <w:ind w:left="1276" w:hanging="567"/>
      </w:pPr>
      <w:r>
        <w:t>Carry out the task in a safe manner consistent with all STSC Health &amp; Safety, Environmental Systems and Procedures</w:t>
      </w:r>
      <w:r w:rsidR="006E368F">
        <w:t xml:space="preserve"> as detailed in </w:t>
      </w:r>
      <w:r w:rsidR="00350437">
        <w:rPr>
          <w:highlight w:val="yellow"/>
        </w:rPr>
        <w:fldChar w:fldCharType="begin"/>
      </w:r>
      <w:r w:rsidR="00350437">
        <w:instrText xml:space="preserve"> REF _Ref525297820 \r \h </w:instrText>
      </w:r>
      <w:r w:rsidR="00350437">
        <w:rPr>
          <w:highlight w:val="yellow"/>
        </w:rPr>
      </w:r>
      <w:r w:rsidR="00350437">
        <w:rPr>
          <w:highlight w:val="yellow"/>
        </w:rPr>
        <w:fldChar w:fldCharType="separate"/>
      </w:r>
      <w:r w:rsidR="00350437">
        <w:t>Appendix 6</w:t>
      </w:r>
      <w:r w:rsidR="00350437">
        <w:rPr>
          <w:highlight w:val="yellow"/>
        </w:rPr>
        <w:fldChar w:fldCharType="end"/>
      </w:r>
      <w:r w:rsidR="006E368F">
        <w:t>.</w:t>
      </w:r>
    </w:p>
    <w:p w14:paraId="4AC4D051" w14:textId="04286388" w:rsidR="00B651DF" w:rsidRPr="00B651DF" w:rsidRDefault="00737EED" w:rsidP="003C14E5">
      <w:pPr>
        <w:pStyle w:val="Heading2"/>
        <w:ind w:left="672" w:hanging="672"/>
        <w:rPr>
          <w:rStyle w:val="TitleText"/>
          <w:b w:val="0"/>
        </w:rPr>
      </w:pPr>
      <w:r>
        <w:rPr>
          <w:rStyle w:val="TitleText"/>
        </w:rPr>
        <w:t xml:space="preserve">Structural </w:t>
      </w:r>
      <w:r w:rsidR="00B651DF" w:rsidRPr="00B651DF">
        <w:rPr>
          <w:rStyle w:val="TitleText"/>
        </w:rPr>
        <w:t>Surveys</w:t>
      </w:r>
      <w:r w:rsidR="00B651DF">
        <w:rPr>
          <w:rStyle w:val="TitleText"/>
          <w:b w:val="0"/>
        </w:rPr>
        <w:t xml:space="preserve">.  The </w:t>
      </w:r>
      <w:r w:rsidR="00B651DF" w:rsidRPr="00B651DF">
        <w:rPr>
          <w:rStyle w:val="TitleText"/>
          <w:b w:val="0"/>
          <w:i/>
        </w:rPr>
        <w:t>Contractor</w:t>
      </w:r>
      <w:r w:rsidR="00B651DF">
        <w:rPr>
          <w:rStyle w:val="TitleText"/>
          <w:b w:val="0"/>
        </w:rPr>
        <w:t xml:space="preserve"> is responsible to ensuring the </w:t>
      </w:r>
      <w:r w:rsidR="004E6B5A">
        <w:rPr>
          <w:rStyle w:val="TitleText"/>
          <w:b w:val="0"/>
        </w:rPr>
        <w:t xml:space="preserve">structural and </w:t>
      </w:r>
      <w:r w:rsidR="00260158">
        <w:rPr>
          <w:rStyle w:val="TitleText"/>
          <w:b w:val="0"/>
        </w:rPr>
        <w:t xml:space="preserve">gas integrity of the </w:t>
      </w:r>
      <w:r w:rsidR="00B651DF">
        <w:rPr>
          <w:rStyle w:val="TitleText"/>
          <w:b w:val="0"/>
        </w:rPr>
        <w:t xml:space="preserve">Process Equipment </w:t>
      </w:r>
      <w:r w:rsidR="00260158">
        <w:rPr>
          <w:rStyle w:val="TitleText"/>
          <w:b w:val="0"/>
        </w:rPr>
        <w:t xml:space="preserve">is suitable for the decontamination methodology proposed.  </w:t>
      </w:r>
      <w:r w:rsidR="00FD693E">
        <w:rPr>
          <w:rStyle w:val="TitleText"/>
          <w:b w:val="0"/>
        </w:rPr>
        <w:t>T</w:t>
      </w:r>
      <w:r w:rsidR="00260158">
        <w:rPr>
          <w:rStyle w:val="TitleText"/>
          <w:b w:val="0"/>
        </w:rPr>
        <w:t xml:space="preserve">he </w:t>
      </w:r>
      <w:r w:rsidR="00260158" w:rsidRPr="00F67106">
        <w:rPr>
          <w:rStyle w:val="TitleText"/>
          <w:b w:val="0"/>
          <w:i/>
        </w:rPr>
        <w:t>Contractor</w:t>
      </w:r>
      <w:r w:rsidR="00260158">
        <w:rPr>
          <w:rStyle w:val="TitleText"/>
          <w:b w:val="0"/>
        </w:rPr>
        <w:t xml:space="preserve"> </w:t>
      </w:r>
      <w:r w:rsidR="00F67106">
        <w:rPr>
          <w:rStyle w:val="TitleText"/>
          <w:b w:val="0"/>
        </w:rPr>
        <w:t>is responsible for undertaking an</w:t>
      </w:r>
      <w:r w:rsidR="00D1034A">
        <w:rPr>
          <w:rStyle w:val="TitleText"/>
          <w:b w:val="0"/>
        </w:rPr>
        <w:t>y</w:t>
      </w:r>
      <w:r w:rsidR="00F67106">
        <w:rPr>
          <w:rStyle w:val="TitleText"/>
          <w:b w:val="0"/>
        </w:rPr>
        <w:t xml:space="preserve"> </w:t>
      </w:r>
      <w:r w:rsidR="00D1034A">
        <w:rPr>
          <w:rStyle w:val="TitleText"/>
          <w:b w:val="0"/>
        </w:rPr>
        <w:t xml:space="preserve">additional </w:t>
      </w:r>
      <w:r w:rsidR="00F67106">
        <w:rPr>
          <w:rStyle w:val="TitleText"/>
          <w:b w:val="0"/>
        </w:rPr>
        <w:t>surveys</w:t>
      </w:r>
      <w:r w:rsidR="00D1034A">
        <w:rPr>
          <w:rStyle w:val="TitleText"/>
          <w:b w:val="0"/>
        </w:rPr>
        <w:t xml:space="preserve"> that may be required</w:t>
      </w:r>
      <w:r w:rsidR="0097624A">
        <w:rPr>
          <w:rStyle w:val="TitleText"/>
          <w:b w:val="0"/>
        </w:rPr>
        <w:t xml:space="preserve"> </w:t>
      </w:r>
      <w:r w:rsidR="0097624A">
        <w:t>prior to submitting the methodology to acceptance under Clause 21.</w:t>
      </w:r>
    </w:p>
    <w:p w14:paraId="1C782E6C" w14:textId="13271C1A" w:rsidR="00B2026F" w:rsidRDefault="007B0242" w:rsidP="003C14E5">
      <w:pPr>
        <w:pStyle w:val="Heading2"/>
        <w:ind w:left="672" w:hanging="672"/>
      </w:pPr>
      <w:r w:rsidRPr="00FA5817">
        <w:rPr>
          <w:rStyle w:val="TitleText"/>
        </w:rPr>
        <w:t xml:space="preserve">Design of </w:t>
      </w:r>
      <w:r w:rsidR="00FA5817" w:rsidRPr="00FA5817">
        <w:rPr>
          <w:rStyle w:val="TitleText"/>
        </w:rPr>
        <w:t>Equipment</w:t>
      </w:r>
      <w:r w:rsidR="00FA5817">
        <w:t>.  The</w:t>
      </w:r>
      <w:r w:rsidR="003424DD">
        <w:t xml:space="preserve"> Process Equipment to be decontaminated is old and in a poor state of repair.  The </w:t>
      </w:r>
      <w:r w:rsidR="007E784C" w:rsidRPr="007E784C">
        <w:rPr>
          <w:i/>
        </w:rPr>
        <w:t>Contractor</w:t>
      </w:r>
      <w:r w:rsidR="007E784C">
        <w:t xml:space="preserve"> </w:t>
      </w:r>
      <w:r w:rsidR="003A2866">
        <w:t>is to ensure</w:t>
      </w:r>
      <w:r w:rsidR="00DA587D">
        <w:t xml:space="preserve">, wherever possible, that all Equipment (temporary works) is free standing and </w:t>
      </w:r>
      <w:r w:rsidR="00BF2786">
        <w:t xml:space="preserve">places no load on the Process Equipment.  </w:t>
      </w:r>
      <w:r w:rsidR="009E540B">
        <w:t xml:space="preserve">In accordance with Clause 23, the </w:t>
      </w:r>
      <w:r w:rsidR="00FA5817" w:rsidRPr="00CF67E4">
        <w:rPr>
          <w:i/>
        </w:rPr>
        <w:t>Contractor</w:t>
      </w:r>
      <w:r w:rsidR="00FA5817">
        <w:t xml:space="preserve"> is to </w:t>
      </w:r>
      <w:r w:rsidR="00982607">
        <w:t xml:space="preserve">submit </w:t>
      </w:r>
      <w:proofErr w:type="gramStart"/>
      <w:r w:rsidR="00982607">
        <w:t>particulars of</w:t>
      </w:r>
      <w:proofErr w:type="gramEnd"/>
      <w:r w:rsidR="00982607">
        <w:t xml:space="preserve"> the design of </w:t>
      </w:r>
      <w:r w:rsidR="00CF67E4">
        <w:t>all</w:t>
      </w:r>
      <w:r w:rsidR="00982607">
        <w:t xml:space="preserve"> item</w:t>
      </w:r>
      <w:r w:rsidR="00CF67E4">
        <w:t>s</w:t>
      </w:r>
      <w:r w:rsidR="00982607">
        <w:t xml:space="preserve"> of Equipment to</w:t>
      </w:r>
      <w:r w:rsidR="00CF67E4">
        <w:t xml:space="preserve"> </w:t>
      </w:r>
      <w:r w:rsidR="00982607">
        <w:t xml:space="preserve">the </w:t>
      </w:r>
      <w:r w:rsidR="00982607" w:rsidRPr="00CF67E4">
        <w:rPr>
          <w:i/>
        </w:rPr>
        <w:t>Project Manager</w:t>
      </w:r>
      <w:r w:rsidR="00982607">
        <w:t xml:space="preserve"> for acceptance</w:t>
      </w:r>
      <w:r w:rsidR="00CF67E4">
        <w:t>.</w:t>
      </w:r>
    </w:p>
    <w:p w14:paraId="4BF18893" w14:textId="7410AE9A" w:rsidR="00737EED" w:rsidRPr="00737EED" w:rsidRDefault="00737EED" w:rsidP="00C54F15">
      <w:pPr>
        <w:pStyle w:val="Heading2"/>
        <w:ind w:left="686" w:hanging="686"/>
        <w:rPr>
          <w:rStyle w:val="TitleText"/>
          <w:b w:val="0"/>
        </w:rPr>
      </w:pPr>
      <w:r w:rsidRPr="00737EED">
        <w:rPr>
          <w:rStyle w:val="TitleText"/>
        </w:rPr>
        <w:t>Environmental Surveys</w:t>
      </w:r>
      <w:r>
        <w:rPr>
          <w:rStyle w:val="TitleText"/>
          <w:b w:val="0"/>
        </w:rPr>
        <w:t xml:space="preserve">.  The </w:t>
      </w:r>
      <w:r w:rsidRPr="009348EC">
        <w:rPr>
          <w:rStyle w:val="TitleText"/>
          <w:b w:val="0"/>
          <w:i/>
        </w:rPr>
        <w:t>Contractor</w:t>
      </w:r>
      <w:r>
        <w:rPr>
          <w:rStyle w:val="TitleText"/>
          <w:b w:val="0"/>
        </w:rPr>
        <w:t xml:space="preserve"> is responsible for undertaking any environmental surveys </w:t>
      </w:r>
      <w:r w:rsidR="009348EC">
        <w:rPr>
          <w:rStyle w:val="TitleText"/>
          <w:b w:val="0"/>
        </w:rPr>
        <w:t xml:space="preserve">that may be required to support proposed methodologies </w:t>
      </w:r>
      <w:r w:rsidR="009348EC">
        <w:t>prior to submitting the methodology to acceptance under Clause 21.</w:t>
      </w:r>
    </w:p>
    <w:p w14:paraId="7B7D436C" w14:textId="4ED491FD" w:rsidR="00107C29" w:rsidRDefault="00107C29" w:rsidP="00AF39CA">
      <w:pPr>
        <w:pStyle w:val="Heading2"/>
      </w:pPr>
      <w:r>
        <w:rPr>
          <w:rStyle w:val="TitleText"/>
        </w:rPr>
        <w:t>Site Security</w:t>
      </w:r>
      <w:r w:rsidRPr="00107C29">
        <w:t>.</w:t>
      </w:r>
      <w:r>
        <w:t xml:space="preserve">  </w:t>
      </w:r>
    </w:p>
    <w:p w14:paraId="5E6DC153" w14:textId="53CA4C81" w:rsidR="00107C29" w:rsidRDefault="00107C29" w:rsidP="00107C29">
      <w:pPr>
        <w:pStyle w:val="Heading3"/>
      </w:pPr>
      <w:r>
        <w:t xml:space="preserve">The </w:t>
      </w:r>
      <w:r w:rsidRPr="00107C29">
        <w:rPr>
          <w:i/>
        </w:rPr>
        <w:t>Contractor</w:t>
      </w:r>
      <w:r>
        <w:t xml:space="preserve"> is to comply with the STSC Security procedures in </w:t>
      </w:r>
      <w:r>
        <w:fldChar w:fldCharType="begin"/>
      </w:r>
      <w:r>
        <w:instrText xml:space="preserve"> REF _Ref525296963 \r \h </w:instrText>
      </w:r>
      <w:r>
        <w:fldChar w:fldCharType="separate"/>
      </w:r>
      <w:r>
        <w:t>Appendix 6</w:t>
      </w:r>
      <w:r>
        <w:fldChar w:fldCharType="end"/>
      </w:r>
      <w:r>
        <w:t>.</w:t>
      </w:r>
    </w:p>
    <w:p w14:paraId="12E5C4B6" w14:textId="0BABF81E" w:rsidR="00187420" w:rsidRDefault="00187420" w:rsidP="00107C29">
      <w:pPr>
        <w:pStyle w:val="Heading3"/>
      </w:pPr>
      <w:r>
        <w:t xml:space="preserve">In addition, the </w:t>
      </w:r>
      <w:r w:rsidRPr="00187420">
        <w:rPr>
          <w:i/>
        </w:rPr>
        <w:t>Contractor</w:t>
      </w:r>
      <w:r>
        <w:t xml:space="preserve"> is responsible for ensuring the security of the works.</w:t>
      </w:r>
    </w:p>
    <w:p w14:paraId="5F5A4367" w14:textId="6A417A8E" w:rsidR="00187420" w:rsidRDefault="00187420" w:rsidP="00C54F15">
      <w:pPr>
        <w:pStyle w:val="Heading3"/>
        <w:ind w:left="700" w:hanging="700"/>
      </w:pPr>
      <w:r>
        <w:t xml:space="preserve">Where the </w:t>
      </w:r>
      <w:r w:rsidR="00EB0301">
        <w:t xml:space="preserve">methodology increases the risk of </w:t>
      </w:r>
      <w:r w:rsidR="004776FF">
        <w:t xml:space="preserve">trespass or </w:t>
      </w:r>
      <w:r w:rsidR="00EB0301">
        <w:t>theft</w:t>
      </w:r>
      <w:r w:rsidR="004776FF">
        <w:t xml:space="preserve"> </w:t>
      </w:r>
      <w:r w:rsidR="00344954">
        <w:t xml:space="preserve">the </w:t>
      </w:r>
      <w:r w:rsidR="00344954" w:rsidRPr="00344954">
        <w:rPr>
          <w:i/>
        </w:rPr>
        <w:t>Contractor</w:t>
      </w:r>
      <w:r w:rsidR="00344954">
        <w:t xml:space="preserve"> </w:t>
      </w:r>
      <w:r w:rsidR="004776FF">
        <w:t>is to include</w:t>
      </w:r>
      <w:r w:rsidR="00344954">
        <w:t>,</w:t>
      </w:r>
      <w:r w:rsidR="004776FF">
        <w:t xml:space="preserve"> in the methodology, proposals to mitigate this risk.</w:t>
      </w:r>
    </w:p>
    <w:p w14:paraId="6D07790B" w14:textId="081BDECF" w:rsidR="00B51817" w:rsidRDefault="00B51817" w:rsidP="00C54F15">
      <w:pPr>
        <w:pStyle w:val="Heading2"/>
        <w:ind w:left="714" w:hanging="714"/>
      </w:pPr>
      <w:r w:rsidRPr="00B51817">
        <w:rPr>
          <w:b/>
        </w:rPr>
        <w:t>Third Party Agreements</w:t>
      </w:r>
      <w:r>
        <w:t>.</w:t>
      </w:r>
      <w:r w:rsidR="0025443C">
        <w:t xml:space="preserve">  The COGM passes </w:t>
      </w:r>
      <w:proofErr w:type="gramStart"/>
      <w:r w:rsidR="00E12324">
        <w:t>in close proximity to</w:t>
      </w:r>
      <w:proofErr w:type="gramEnd"/>
      <w:r w:rsidR="00E12324">
        <w:t xml:space="preserve"> assets </w:t>
      </w:r>
      <w:r w:rsidR="00414F6C">
        <w:t>and on la</w:t>
      </w:r>
      <w:r w:rsidR="00E75AAA">
        <w:t xml:space="preserve">nd </w:t>
      </w:r>
      <w:r w:rsidR="00E12324">
        <w:t xml:space="preserve">owned by </w:t>
      </w:r>
      <w:r w:rsidR="00E75AAA">
        <w:t>third parties</w:t>
      </w:r>
      <w:r w:rsidR="00E12324">
        <w:t>.</w:t>
      </w:r>
      <w:r w:rsidR="00EE5053">
        <w:t xml:space="preserve">  The </w:t>
      </w:r>
      <w:r w:rsidR="00EE5053" w:rsidRPr="00E75AAA">
        <w:rPr>
          <w:i/>
        </w:rPr>
        <w:t>Contractor</w:t>
      </w:r>
      <w:r w:rsidR="00EE5053">
        <w:t xml:space="preserve"> is responsible to all negotiations </w:t>
      </w:r>
      <w:r w:rsidR="00E75AAA">
        <w:t xml:space="preserve">associated with the proposed methodologies with third parties and obtaining their authority </w:t>
      </w:r>
      <w:r w:rsidR="009F7C66">
        <w:t>or agreement to the proposed methodologies prior to submitting the methodology to acceptance under Clause 21.</w:t>
      </w:r>
    </w:p>
    <w:p w14:paraId="7D050B74" w14:textId="77777777" w:rsidR="003C14E5" w:rsidRDefault="003C14E5">
      <w:pPr>
        <w:spacing w:after="200" w:line="276" w:lineRule="auto"/>
        <w:rPr>
          <w:rFonts w:eastAsia="Times New Roman" w:cs="Times New Roman"/>
          <w:bCs/>
          <w:color w:val="auto"/>
          <w:sz w:val="48"/>
          <w:szCs w:val="28"/>
        </w:rPr>
      </w:pPr>
      <w:bookmarkStart w:id="5" w:name="_Toc525041287"/>
      <w:r>
        <w:br w:type="page"/>
      </w:r>
    </w:p>
    <w:p w14:paraId="302F64FD" w14:textId="4C24418F" w:rsidR="008914F2" w:rsidRDefault="008914F2" w:rsidP="0035407C">
      <w:pPr>
        <w:pStyle w:val="Heading1"/>
      </w:pPr>
      <w:bookmarkStart w:id="6" w:name="_Toc527988011"/>
      <w:r>
        <w:lastRenderedPageBreak/>
        <w:t xml:space="preserve">Early Contractor </w:t>
      </w:r>
      <w:r w:rsidR="00B92682">
        <w:t>Involvement</w:t>
      </w:r>
      <w:r>
        <w:t xml:space="preserve"> Strategy</w:t>
      </w:r>
      <w:bookmarkEnd w:id="6"/>
    </w:p>
    <w:p w14:paraId="666C0AEE" w14:textId="5454B15C" w:rsidR="0035407C" w:rsidRDefault="0035407C" w:rsidP="00F00140">
      <w:pPr>
        <w:pStyle w:val="Heading2"/>
        <w:keepNext/>
      </w:pPr>
      <w:r w:rsidRPr="00B92682">
        <w:rPr>
          <w:rStyle w:val="TitleText"/>
        </w:rPr>
        <w:t>Definition of Stage One</w:t>
      </w:r>
      <w:bookmarkEnd w:id="5"/>
      <w:r w:rsidR="00B92682">
        <w:t>.</w:t>
      </w:r>
    </w:p>
    <w:p w14:paraId="59EC32BD" w14:textId="77777777" w:rsidR="0035407C" w:rsidRDefault="0035407C" w:rsidP="00C77AEB">
      <w:pPr>
        <w:pStyle w:val="BodyText"/>
        <w:keepNext/>
        <w:ind w:left="700"/>
      </w:pPr>
      <w:bookmarkStart w:id="7" w:name="_Toc525041288"/>
      <w:bookmarkEnd w:id="7"/>
      <w:r>
        <w:t>Stage One of the works will include:</w:t>
      </w:r>
    </w:p>
    <w:p w14:paraId="5563542D" w14:textId="77777777" w:rsidR="0035407C" w:rsidRDefault="0035407C" w:rsidP="00F00140">
      <w:pPr>
        <w:pStyle w:val="Heading3"/>
        <w:keepNext/>
      </w:pPr>
      <w:r w:rsidRPr="00D36F70">
        <w:rPr>
          <w:rStyle w:val="TitleText"/>
        </w:rPr>
        <w:t>Coke Oven Gas Main</w:t>
      </w:r>
      <w:r>
        <w:t xml:space="preserve">.  </w:t>
      </w:r>
    </w:p>
    <w:p w14:paraId="5EA1222E" w14:textId="194463DC" w:rsidR="0035407C" w:rsidRDefault="0035407C" w:rsidP="003C14E5">
      <w:pPr>
        <w:pStyle w:val="Heading4"/>
        <w:keepNext w:val="0"/>
        <w:ind w:left="700" w:hanging="700"/>
      </w:pPr>
      <w:r>
        <w:t xml:space="preserve">Stage One is to include decontamination of sections 012, 013, 014, from SBV 2 to SBV 16 exclusive and associated valves and infrastructure of the COGM to the </w:t>
      </w:r>
      <w:r w:rsidR="0075306E">
        <w:t xml:space="preserve">standard </w:t>
      </w:r>
      <w:r>
        <w:t>specified</w:t>
      </w:r>
      <w:r w:rsidR="0075306E">
        <w:t xml:space="preserve"> in </w:t>
      </w:r>
      <w:r w:rsidR="008072EF">
        <w:t>Paragraph</w:t>
      </w:r>
      <w:r w:rsidR="0075306E">
        <w:t xml:space="preserve"> </w:t>
      </w:r>
      <w:r w:rsidR="0075306E">
        <w:fldChar w:fldCharType="begin"/>
      </w:r>
      <w:r w:rsidR="0075306E">
        <w:instrText xml:space="preserve"> REF _Ref525303249 \r \h </w:instrText>
      </w:r>
      <w:r w:rsidR="0075306E">
        <w:fldChar w:fldCharType="separate"/>
      </w:r>
      <w:r w:rsidR="0075306E">
        <w:t>2</w:t>
      </w:r>
      <w:r w:rsidR="0075306E">
        <w:fldChar w:fldCharType="end"/>
      </w:r>
      <w:r w:rsidR="008072EF">
        <w:t xml:space="preserve">, </w:t>
      </w:r>
      <w:r w:rsidR="008072EF">
        <w:fldChar w:fldCharType="begin"/>
      </w:r>
      <w:r w:rsidR="008072EF">
        <w:instrText xml:space="preserve"> REF _Ref525303265 \h </w:instrText>
      </w:r>
      <w:r w:rsidR="008072EF">
        <w:fldChar w:fldCharType="separate"/>
      </w:r>
      <w:r w:rsidR="008072EF">
        <w:t>Performance Specification</w:t>
      </w:r>
      <w:r w:rsidR="008072EF">
        <w:fldChar w:fldCharType="end"/>
      </w:r>
      <w:r w:rsidR="008072EF">
        <w:t>, of the Works Information</w:t>
      </w:r>
      <w:r>
        <w:t>.</w:t>
      </w:r>
    </w:p>
    <w:p w14:paraId="66A924C3" w14:textId="77777777" w:rsidR="0035407C" w:rsidRDefault="0035407C" w:rsidP="0035407C">
      <w:pPr>
        <w:pStyle w:val="BodyText"/>
      </w:pPr>
      <w:r w:rsidRPr="00B5605C">
        <w:rPr>
          <w:noProof/>
        </w:rPr>
        <w:drawing>
          <wp:inline distT="0" distB="0" distL="0" distR="0" wp14:anchorId="1F0CD08F" wp14:editId="49A9B40C">
            <wp:extent cx="5829300" cy="26670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 t="37413" r="40004" b="22750"/>
                    <a:stretch/>
                  </pic:blipFill>
                  <pic:spPr bwMode="auto">
                    <a:xfrm>
                      <a:off x="0" y="0"/>
                      <a:ext cx="5870305" cy="2685761"/>
                    </a:xfrm>
                    <a:prstGeom prst="rect">
                      <a:avLst/>
                    </a:prstGeom>
                    <a:noFill/>
                    <a:ln>
                      <a:noFill/>
                    </a:ln>
                    <a:extLst>
                      <a:ext uri="{53640926-AAD7-44D8-BBD7-CCE9431645EC}">
                        <a14:shadowObscured xmlns:a14="http://schemas.microsoft.com/office/drawing/2010/main"/>
                      </a:ext>
                    </a:extLst>
                  </pic:spPr>
                </pic:pic>
              </a:graphicData>
            </a:graphic>
          </wp:inline>
        </w:drawing>
      </w:r>
    </w:p>
    <w:p w14:paraId="01F435D2" w14:textId="77777777" w:rsidR="0035407C" w:rsidRDefault="0035407C" w:rsidP="003C14E5">
      <w:pPr>
        <w:pStyle w:val="Heading4"/>
        <w:ind w:left="770" w:hanging="770"/>
      </w:pPr>
      <w:r>
        <w:t xml:space="preserve">The </w:t>
      </w:r>
      <w:r w:rsidRPr="00DE6F9A">
        <w:rPr>
          <w:i/>
        </w:rPr>
        <w:t>Project Manager</w:t>
      </w:r>
      <w:r>
        <w:t xml:space="preserve"> may instruct the </w:t>
      </w:r>
      <w:r w:rsidRPr="00DE6F9A">
        <w:rPr>
          <w:i/>
        </w:rPr>
        <w:t>Contractor</w:t>
      </w:r>
      <w:r>
        <w:t xml:space="preserve"> to include or exclude sections of the COGM within Stage </w:t>
      </w:r>
      <w:r w:rsidRPr="00226297">
        <w:t>One</w:t>
      </w:r>
      <w:r>
        <w:t>.</w:t>
      </w:r>
    </w:p>
    <w:p w14:paraId="10C158C3" w14:textId="77777777" w:rsidR="0035407C" w:rsidRDefault="0035407C" w:rsidP="003C14E5">
      <w:pPr>
        <w:pStyle w:val="Heading4"/>
        <w:ind w:left="770" w:hanging="770"/>
      </w:pPr>
      <w:r w:rsidRPr="00D36F70">
        <w:rPr>
          <w:rStyle w:val="TitleText"/>
        </w:rPr>
        <w:t>Assessment of Methodology</w:t>
      </w:r>
      <w:r>
        <w:t xml:space="preserve">.  During Stage One the </w:t>
      </w:r>
      <w:r w:rsidRPr="00B5605C">
        <w:rPr>
          <w:i/>
        </w:rPr>
        <w:t>Contractor</w:t>
      </w:r>
      <w:r>
        <w:t xml:space="preserve"> is to assess the viability and cost effectiveness of proposals to decontaminate the COGM by undertaking planned trials.  Stage One trials are to include trial of proposals to clean the buried sections of the COGM through experimentation on this above ground section.  Prior to commencing each trial, the </w:t>
      </w:r>
      <w:r w:rsidRPr="00CC7FA2">
        <w:rPr>
          <w:i/>
        </w:rPr>
        <w:t>Contractor</w:t>
      </w:r>
      <w:r>
        <w:t xml:space="preserve"> is to submit a method statement for the trial to the </w:t>
      </w:r>
      <w:r w:rsidRPr="00C42A88">
        <w:rPr>
          <w:i/>
        </w:rPr>
        <w:t>Project Manager</w:t>
      </w:r>
      <w:r>
        <w:t xml:space="preserve"> for acceptance in accordance with Clause 21.  The method statement is to include:</w:t>
      </w:r>
    </w:p>
    <w:p w14:paraId="6476EF68" w14:textId="33AD4CB4" w:rsidR="0035407C" w:rsidRDefault="0035407C" w:rsidP="003C14E5">
      <w:pPr>
        <w:pStyle w:val="ListBullet"/>
        <w:ind w:left="1418" w:hanging="709"/>
      </w:pPr>
      <w:r>
        <w:t xml:space="preserve">Risk Assessment and Method </w:t>
      </w:r>
      <w:r w:rsidRPr="00C54968">
        <w:t>Statement</w:t>
      </w:r>
      <w:r>
        <w:t xml:space="preserve"> compliant with</w:t>
      </w:r>
      <w:r w:rsidR="00A4610F">
        <w:t xml:space="preserve"> STSC’s Procedures, </w:t>
      </w:r>
      <w:r w:rsidR="00A4610F">
        <w:fldChar w:fldCharType="begin"/>
      </w:r>
      <w:r w:rsidR="00A4610F">
        <w:instrText xml:space="preserve"> REF _Ref525296963 \r \h </w:instrText>
      </w:r>
      <w:r w:rsidR="00A4610F">
        <w:fldChar w:fldCharType="separate"/>
      </w:r>
      <w:r w:rsidR="00A4610F">
        <w:t>Appendix 6</w:t>
      </w:r>
      <w:r w:rsidR="00A4610F">
        <w:fldChar w:fldCharType="end"/>
      </w:r>
      <w:r>
        <w:t xml:space="preserve">, </w:t>
      </w:r>
      <w:r w:rsidRPr="00EE1342">
        <w:t xml:space="preserve">including the of design of all Equipment (temporary works) for the </w:t>
      </w:r>
      <w:r w:rsidRPr="00EE1342">
        <w:rPr>
          <w:i/>
        </w:rPr>
        <w:t>Project Manager</w:t>
      </w:r>
      <w:r w:rsidRPr="00EE1342">
        <w:t>’s acceptance</w:t>
      </w:r>
      <w:r w:rsidR="00C067EB">
        <w:t xml:space="preserve">, to be issued </w:t>
      </w:r>
      <w:r w:rsidR="0071488E">
        <w:t>in accordance with Clause 21</w:t>
      </w:r>
      <w:r>
        <w:t>.</w:t>
      </w:r>
    </w:p>
    <w:p w14:paraId="41CB4CF6" w14:textId="6DB150A4" w:rsidR="0035407C" w:rsidRDefault="0035407C" w:rsidP="003C14E5">
      <w:pPr>
        <w:pStyle w:val="ListBullet"/>
        <w:tabs>
          <w:tab w:val="num" w:pos="360"/>
        </w:tabs>
        <w:ind w:left="1418" w:hanging="709"/>
      </w:pPr>
      <w:r>
        <w:t xml:space="preserve">Fully costed estimate for the trial works priced in accordance with the </w:t>
      </w:r>
      <w:r w:rsidR="002B6496">
        <w:t>P</w:t>
      </w:r>
      <w:r w:rsidR="006211A0">
        <w:t xml:space="preserve">ricing </w:t>
      </w:r>
      <w:r w:rsidR="002B6496">
        <w:t>I</w:t>
      </w:r>
      <w:r w:rsidR="006211A0">
        <w:t>nformation</w:t>
      </w:r>
      <w:r w:rsidR="002B6496">
        <w:t>.</w:t>
      </w:r>
      <w:r w:rsidR="006211A0">
        <w:t xml:space="preserve"> </w:t>
      </w:r>
    </w:p>
    <w:p w14:paraId="2F544D97" w14:textId="77777777" w:rsidR="0035407C" w:rsidRDefault="0035407C" w:rsidP="00755051">
      <w:pPr>
        <w:pStyle w:val="Heading3"/>
      </w:pPr>
      <w:r w:rsidRPr="00D36F70">
        <w:rPr>
          <w:rStyle w:val="TitleText"/>
        </w:rPr>
        <w:t>South Bank Coke Ovens</w:t>
      </w:r>
      <w:r>
        <w:t>.</w:t>
      </w:r>
    </w:p>
    <w:p w14:paraId="503153A0" w14:textId="3DBE7454" w:rsidR="0035407C" w:rsidRDefault="0035407C" w:rsidP="00C54968">
      <w:pPr>
        <w:pStyle w:val="Heading4"/>
      </w:pPr>
      <w:r>
        <w:t>Stage One is to include decontamination of the following plant items within the SBCO:</w:t>
      </w:r>
    </w:p>
    <w:p w14:paraId="0F61FCB1" w14:textId="2D135E4F" w:rsidR="0035407C" w:rsidRPr="0071488E" w:rsidRDefault="0071488E" w:rsidP="003C14E5">
      <w:pPr>
        <w:pStyle w:val="ListBullet"/>
        <w:tabs>
          <w:tab w:val="num" w:pos="360"/>
        </w:tabs>
        <w:ind w:left="1418" w:hanging="676"/>
      </w:pPr>
      <w:r w:rsidRPr="0071488E">
        <w:t>Benzol Storage Tank</w:t>
      </w:r>
    </w:p>
    <w:p w14:paraId="3D27C46E" w14:textId="46DE7255" w:rsidR="0035407C" w:rsidRPr="0071488E" w:rsidRDefault="0071488E" w:rsidP="003C14E5">
      <w:pPr>
        <w:pStyle w:val="ListBullet"/>
        <w:tabs>
          <w:tab w:val="num" w:pos="360"/>
        </w:tabs>
        <w:ind w:left="1418" w:hanging="676"/>
      </w:pPr>
      <w:r>
        <w:t xml:space="preserve">Effluent </w:t>
      </w:r>
      <w:r w:rsidRPr="0071488E">
        <w:t>Tank</w:t>
      </w:r>
      <w:r>
        <w:t xml:space="preserve"> No 4</w:t>
      </w:r>
    </w:p>
    <w:p w14:paraId="7F86C461" w14:textId="4C254887" w:rsidR="0071488E" w:rsidRPr="0071488E" w:rsidRDefault="0071488E" w:rsidP="003C14E5">
      <w:pPr>
        <w:pStyle w:val="ListBullet"/>
        <w:tabs>
          <w:tab w:val="num" w:pos="360"/>
        </w:tabs>
        <w:ind w:left="1418" w:hanging="676"/>
      </w:pPr>
      <w:r>
        <w:t xml:space="preserve">Tar Tanks </w:t>
      </w:r>
      <w:r w:rsidRPr="0071488E">
        <w:t>L</w:t>
      </w:r>
      <w:r>
        <w:t xml:space="preserve"> </w:t>
      </w:r>
      <w:r w:rsidRPr="0071488E">
        <w:t>&amp;</w:t>
      </w:r>
      <w:r>
        <w:t xml:space="preserve"> </w:t>
      </w:r>
      <w:r w:rsidRPr="0071488E">
        <w:t>M</w:t>
      </w:r>
    </w:p>
    <w:p w14:paraId="68984F16" w14:textId="29F25EC9" w:rsidR="0035407C" w:rsidRDefault="0035407C" w:rsidP="007056F0">
      <w:pPr>
        <w:pStyle w:val="Heading4"/>
        <w:ind w:left="742" w:hanging="742"/>
      </w:pPr>
      <w:r>
        <w:lastRenderedPageBreak/>
        <w:t xml:space="preserve">The </w:t>
      </w:r>
      <w:r w:rsidRPr="00DE6F9A">
        <w:rPr>
          <w:i/>
        </w:rPr>
        <w:t>Project Manager</w:t>
      </w:r>
      <w:r>
        <w:t xml:space="preserve"> may </w:t>
      </w:r>
      <w:r w:rsidRPr="006854B4">
        <w:t>instruct</w:t>
      </w:r>
      <w:r>
        <w:t xml:space="preserve"> the </w:t>
      </w:r>
      <w:r w:rsidRPr="00DE6F9A">
        <w:rPr>
          <w:i/>
        </w:rPr>
        <w:t>Contractor</w:t>
      </w:r>
      <w:r>
        <w:t xml:space="preserve"> </w:t>
      </w:r>
      <w:r w:rsidR="009E09BB">
        <w:t xml:space="preserve">to include </w:t>
      </w:r>
      <w:r w:rsidR="00FA79F4">
        <w:t xml:space="preserve">or exclude </w:t>
      </w:r>
      <w:r w:rsidR="009E09BB">
        <w:t xml:space="preserve">items </w:t>
      </w:r>
      <w:r w:rsidR="00FA79F4">
        <w:t xml:space="preserve">of </w:t>
      </w:r>
      <w:proofErr w:type="spellStart"/>
      <w:r w:rsidR="00FA79F4">
        <w:t>piocess</w:t>
      </w:r>
      <w:proofErr w:type="spellEnd"/>
      <w:r w:rsidR="00FA79F4">
        <w:t xml:space="preserve"> equipment</w:t>
      </w:r>
      <w:r>
        <w:t>.</w:t>
      </w:r>
    </w:p>
    <w:p w14:paraId="361EECD7" w14:textId="77777777" w:rsidR="0035407C" w:rsidRDefault="0035407C" w:rsidP="007056F0">
      <w:pPr>
        <w:pStyle w:val="Heading4"/>
        <w:ind w:left="700" w:hanging="700"/>
      </w:pPr>
      <w:r w:rsidRPr="00D36F70">
        <w:rPr>
          <w:rStyle w:val="TitleText"/>
        </w:rPr>
        <w:t>Assessment of Methodology</w:t>
      </w:r>
      <w:r>
        <w:t xml:space="preserve">.  During Stage One the </w:t>
      </w:r>
      <w:r w:rsidRPr="00B5605C">
        <w:rPr>
          <w:i/>
        </w:rPr>
        <w:t>Contractor</w:t>
      </w:r>
      <w:r>
        <w:t xml:space="preserve"> is to assess the viability and cost effectiveness of proposals to decontaminate both the South Bank and Redcar Coke Ovens by undertaking planned trials.  Prior to commencing each trial, the </w:t>
      </w:r>
      <w:r w:rsidRPr="00CC7FA2">
        <w:rPr>
          <w:i/>
        </w:rPr>
        <w:t>Contractor</w:t>
      </w:r>
      <w:r>
        <w:t xml:space="preserve"> is to submit a method statement for the trial to the </w:t>
      </w:r>
      <w:r w:rsidRPr="00C42A88">
        <w:rPr>
          <w:i/>
        </w:rPr>
        <w:t>Project Manager</w:t>
      </w:r>
      <w:r>
        <w:t xml:space="preserve"> for acceptance</w:t>
      </w:r>
      <w:r w:rsidRPr="00C3508F">
        <w:t xml:space="preserve"> </w:t>
      </w:r>
      <w:r>
        <w:t>in accordance with Clause 21.  The method statement is to include:</w:t>
      </w:r>
    </w:p>
    <w:p w14:paraId="37677337" w14:textId="77777777" w:rsidR="0071488E" w:rsidRDefault="0071488E" w:rsidP="003C14E5">
      <w:pPr>
        <w:pStyle w:val="ListBullet"/>
        <w:ind w:left="1276" w:hanging="567"/>
      </w:pPr>
      <w:r>
        <w:t xml:space="preserve">Risk Assessment and Method </w:t>
      </w:r>
      <w:r w:rsidRPr="00C54968">
        <w:t>Statement</w:t>
      </w:r>
      <w:r>
        <w:t xml:space="preserve"> compliant with STSC’s Procedures, </w:t>
      </w:r>
      <w:r>
        <w:fldChar w:fldCharType="begin"/>
      </w:r>
      <w:r>
        <w:instrText xml:space="preserve"> REF _Ref525296963 \r \h </w:instrText>
      </w:r>
      <w:r>
        <w:fldChar w:fldCharType="separate"/>
      </w:r>
      <w:r>
        <w:t>Appendix 6</w:t>
      </w:r>
      <w:r>
        <w:fldChar w:fldCharType="end"/>
      </w:r>
      <w:r>
        <w:t xml:space="preserve">, </w:t>
      </w:r>
      <w:r w:rsidRPr="00EE1342">
        <w:t xml:space="preserve">including the of design of all Equipment (temporary works) for the </w:t>
      </w:r>
      <w:r w:rsidRPr="0071488E">
        <w:rPr>
          <w:i/>
        </w:rPr>
        <w:t>Project Manager</w:t>
      </w:r>
      <w:r w:rsidRPr="00EE1342">
        <w:t>’s acceptance</w:t>
      </w:r>
      <w:r>
        <w:t>, to be issued in accordance with Clause 21.</w:t>
      </w:r>
    </w:p>
    <w:p w14:paraId="55423E23" w14:textId="522B1258" w:rsidR="0071488E" w:rsidRDefault="002B6496" w:rsidP="003C14E5">
      <w:pPr>
        <w:pStyle w:val="ListBullet"/>
        <w:ind w:left="1276" w:hanging="567"/>
      </w:pPr>
      <w:r>
        <w:t>Fully costed estimate for the trial works priced in accordance with the Pricing Information.</w:t>
      </w:r>
    </w:p>
    <w:p w14:paraId="225485E7" w14:textId="64DB89CC" w:rsidR="0035407C" w:rsidRDefault="0035407C" w:rsidP="00943965">
      <w:pPr>
        <w:pStyle w:val="Heading3"/>
        <w:keepNext/>
      </w:pPr>
      <w:r w:rsidRPr="00B353CA">
        <w:rPr>
          <w:rStyle w:val="TitleText"/>
        </w:rPr>
        <w:t>Heavy Fuel Oil</w:t>
      </w:r>
      <w:r>
        <w:t>.</w:t>
      </w:r>
    </w:p>
    <w:p w14:paraId="1FA1A71E" w14:textId="534D9975" w:rsidR="0035407C" w:rsidRDefault="0035407C" w:rsidP="00C54968">
      <w:pPr>
        <w:pStyle w:val="Heading4"/>
      </w:pPr>
      <w:r>
        <w:t>Stage One does not include any trials on the HFO system.</w:t>
      </w:r>
    </w:p>
    <w:p w14:paraId="1794E638" w14:textId="77777777" w:rsidR="0035407C" w:rsidRPr="00282ED1" w:rsidRDefault="0035407C" w:rsidP="00C54968">
      <w:pPr>
        <w:pStyle w:val="Heading4"/>
      </w:pPr>
      <w:r>
        <w:t xml:space="preserve">The </w:t>
      </w:r>
      <w:r w:rsidRPr="00226297">
        <w:t>Project</w:t>
      </w:r>
      <w:r w:rsidRPr="00DE6F9A">
        <w:rPr>
          <w:i/>
        </w:rPr>
        <w:t xml:space="preserve"> Manager</w:t>
      </w:r>
      <w:r>
        <w:t xml:space="preserve"> may instruct the </w:t>
      </w:r>
      <w:r w:rsidRPr="00DE6F9A">
        <w:rPr>
          <w:i/>
        </w:rPr>
        <w:t>Contractor</w:t>
      </w:r>
      <w:r>
        <w:t xml:space="preserve"> to undertake trials on the HFO system.</w:t>
      </w:r>
    </w:p>
    <w:p w14:paraId="6E3CFAD4" w14:textId="26DFEF5C" w:rsidR="00AB3AF1" w:rsidRDefault="0035407C" w:rsidP="007056F0">
      <w:pPr>
        <w:pStyle w:val="Heading4"/>
        <w:ind w:left="770" w:hanging="770"/>
      </w:pPr>
      <w:r w:rsidRPr="00D36F70">
        <w:rPr>
          <w:rStyle w:val="TitleText"/>
        </w:rPr>
        <w:t>Assessment of Methodology</w:t>
      </w:r>
      <w:r>
        <w:t xml:space="preserve">.  </w:t>
      </w:r>
      <w:r w:rsidR="00AB3AF1">
        <w:t xml:space="preserve">During Stage One the </w:t>
      </w:r>
      <w:r w:rsidR="00AB3AF1" w:rsidRPr="00B5605C">
        <w:rPr>
          <w:i/>
        </w:rPr>
        <w:t>Contractor</w:t>
      </w:r>
      <w:r w:rsidR="00AB3AF1">
        <w:t xml:space="preserve"> is to submit a method statement for the </w:t>
      </w:r>
      <w:r w:rsidR="0071376E">
        <w:t xml:space="preserve">decontamination of the </w:t>
      </w:r>
      <w:r w:rsidR="008B621F">
        <w:t>HFO</w:t>
      </w:r>
      <w:r w:rsidR="00E52DDD">
        <w:t>, for execution in Stage Two,</w:t>
      </w:r>
      <w:r w:rsidR="008B621F">
        <w:t xml:space="preserve"> </w:t>
      </w:r>
      <w:r w:rsidR="00AB3AF1">
        <w:t xml:space="preserve">to the </w:t>
      </w:r>
      <w:r w:rsidR="00AB3AF1" w:rsidRPr="00C42A88">
        <w:rPr>
          <w:i/>
        </w:rPr>
        <w:t>Project Manager</w:t>
      </w:r>
      <w:r w:rsidR="00AB3AF1">
        <w:t xml:space="preserve"> for acceptance</w:t>
      </w:r>
      <w:r w:rsidR="00AB3AF1" w:rsidRPr="00C3508F">
        <w:t xml:space="preserve"> </w:t>
      </w:r>
      <w:r w:rsidR="00AB3AF1">
        <w:t>in accordance with Clause 21.  The method statement is to include:</w:t>
      </w:r>
    </w:p>
    <w:p w14:paraId="346F9545" w14:textId="77777777" w:rsidR="00AB3AF1" w:rsidRDefault="00AB3AF1" w:rsidP="003C14E5">
      <w:pPr>
        <w:pStyle w:val="ListBullet"/>
        <w:ind w:left="1276" w:hanging="567"/>
      </w:pPr>
      <w:r>
        <w:t xml:space="preserve">Risk Assessment and Method </w:t>
      </w:r>
      <w:r w:rsidRPr="00C54968">
        <w:t>Statement</w:t>
      </w:r>
      <w:r>
        <w:t xml:space="preserve"> compliant with STSC’s Procedures, </w:t>
      </w:r>
      <w:r>
        <w:fldChar w:fldCharType="begin"/>
      </w:r>
      <w:r>
        <w:instrText xml:space="preserve"> REF _Ref525296963 \r \h </w:instrText>
      </w:r>
      <w:r>
        <w:fldChar w:fldCharType="separate"/>
      </w:r>
      <w:r>
        <w:t>Appendix 6</w:t>
      </w:r>
      <w:r>
        <w:fldChar w:fldCharType="end"/>
      </w:r>
      <w:r>
        <w:t xml:space="preserve">, </w:t>
      </w:r>
      <w:r w:rsidRPr="00EE1342">
        <w:t xml:space="preserve">including the of design of all Equipment (temporary works) for the </w:t>
      </w:r>
      <w:r w:rsidRPr="0071488E">
        <w:rPr>
          <w:i/>
        </w:rPr>
        <w:t>Project Manager</w:t>
      </w:r>
      <w:r w:rsidRPr="00EE1342">
        <w:t>’s acceptance</w:t>
      </w:r>
      <w:r>
        <w:t>, to be issued in accordance with Clause 21.</w:t>
      </w:r>
    </w:p>
    <w:p w14:paraId="37BE5474" w14:textId="3282502C" w:rsidR="00AB3AF1" w:rsidRDefault="002B6496" w:rsidP="003C14E5">
      <w:pPr>
        <w:pStyle w:val="ListBullet"/>
        <w:ind w:left="1276" w:hanging="567"/>
      </w:pPr>
      <w:r>
        <w:t>Fully costed estimate for the trial works priced in accordance with the Pricing Information.</w:t>
      </w:r>
    </w:p>
    <w:p w14:paraId="203B0C59" w14:textId="6961F691" w:rsidR="0035407C" w:rsidRDefault="0035407C" w:rsidP="00DD57E2">
      <w:pPr>
        <w:pStyle w:val="Heading3"/>
      </w:pPr>
      <w:r w:rsidRPr="00CF1740">
        <w:rPr>
          <w:rStyle w:val="TitleText"/>
        </w:rPr>
        <w:t xml:space="preserve">Reprocessing and disposal of </w:t>
      </w:r>
      <w:r w:rsidR="00A25493" w:rsidRPr="00A25493">
        <w:rPr>
          <w:rStyle w:val="TitleText"/>
        </w:rPr>
        <w:t>Contents and Arisings</w:t>
      </w:r>
      <w:r>
        <w:t>.</w:t>
      </w:r>
    </w:p>
    <w:p w14:paraId="14558668" w14:textId="55FDE7FC" w:rsidR="0035407C" w:rsidRDefault="0035407C" w:rsidP="003C14E5">
      <w:pPr>
        <w:pStyle w:val="Heading4"/>
        <w:ind w:left="756" w:hanging="756"/>
      </w:pPr>
      <w:r>
        <w:t xml:space="preserve">Stage One is to include the </w:t>
      </w:r>
      <w:r w:rsidRPr="00943965">
        <w:t>reprocessing</w:t>
      </w:r>
      <w:r>
        <w:t xml:space="preserve"> and disposal of all </w:t>
      </w:r>
      <w:r w:rsidR="00215FB5" w:rsidRPr="00215FB5">
        <w:t>Contents and Arisings</w:t>
      </w:r>
      <w:r>
        <w:t xml:space="preserve"> generated during this stage.</w:t>
      </w:r>
    </w:p>
    <w:p w14:paraId="3011EF9E" w14:textId="3B33190F" w:rsidR="0035407C" w:rsidRDefault="0035407C" w:rsidP="003C14E5">
      <w:pPr>
        <w:pStyle w:val="Heading4"/>
        <w:ind w:left="756" w:hanging="756"/>
      </w:pPr>
      <w:r>
        <w:t xml:space="preserve">The </w:t>
      </w:r>
      <w:r w:rsidRPr="00215FB5">
        <w:rPr>
          <w:i/>
        </w:rPr>
        <w:t>Project</w:t>
      </w:r>
      <w:r w:rsidRPr="00DE6F9A">
        <w:rPr>
          <w:i/>
        </w:rPr>
        <w:t xml:space="preserve"> Manager</w:t>
      </w:r>
      <w:r>
        <w:t xml:space="preserve"> may instruct </w:t>
      </w:r>
      <w:r w:rsidRPr="00567692">
        <w:t>the</w:t>
      </w:r>
      <w:r>
        <w:t xml:space="preserve"> </w:t>
      </w:r>
      <w:r w:rsidRPr="00DE6F9A">
        <w:rPr>
          <w:i/>
        </w:rPr>
        <w:t>Contractor</w:t>
      </w:r>
      <w:r>
        <w:t xml:space="preserve"> to include waste from other sources in these trials, to stock pile </w:t>
      </w:r>
      <w:r w:rsidR="00567692">
        <w:t>Contents and Arisings</w:t>
      </w:r>
      <w:r>
        <w:t xml:space="preserve"> on</w:t>
      </w:r>
      <w:r w:rsidR="00567692">
        <w:t xml:space="preserve"> </w:t>
      </w:r>
      <w:r>
        <w:t xml:space="preserve">site for Stage 2 or </w:t>
      </w:r>
      <w:r w:rsidR="0060126E">
        <w:t xml:space="preserve">remove the </w:t>
      </w:r>
      <w:r w:rsidR="00E2565F">
        <w:t xml:space="preserve">reprocessing and </w:t>
      </w:r>
      <w:r>
        <w:t xml:space="preserve">disposal </w:t>
      </w:r>
      <w:r w:rsidR="00215FB5">
        <w:t xml:space="preserve">of Contents and Arisings </w:t>
      </w:r>
      <w:r w:rsidR="0060126E">
        <w:t xml:space="preserve">from </w:t>
      </w:r>
      <w:r>
        <w:t>the contract.</w:t>
      </w:r>
    </w:p>
    <w:p w14:paraId="3B223DD7" w14:textId="0E99F621" w:rsidR="0035407C" w:rsidRDefault="0035407C" w:rsidP="003C14E5">
      <w:pPr>
        <w:pStyle w:val="Heading4"/>
        <w:ind w:left="756" w:hanging="756"/>
      </w:pPr>
      <w:r w:rsidRPr="00D36F70">
        <w:rPr>
          <w:rStyle w:val="TitleText"/>
        </w:rPr>
        <w:t>Assessment of Methodology</w:t>
      </w:r>
      <w:r>
        <w:t xml:space="preserve">.  During Stage One the </w:t>
      </w:r>
      <w:r w:rsidRPr="00B5605C">
        <w:rPr>
          <w:i/>
        </w:rPr>
        <w:t>Contractor</w:t>
      </w:r>
      <w:r>
        <w:t xml:space="preserve"> is to assess the viability and cost effectiveness of proposals to reprocess and dispose of </w:t>
      </w:r>
      <w:r w:rsidR="00062B1D">
        <w:t xml:space="preserve">Contents and Arisings from the </w:t>
      </w:r>
      <w:r>
        <w:t xml:space="preserve">Stage One trials.  This may include, but is not limited to desk top studies, reprocessing trials and disposal trials.  Prior to commencing each trial, the </w:t>
      </w:r>
      <w:r w:rsidRPr="00FB1380">
        <w:rPr>
          <w:i/>
        </w:rPr>
        <w:t>Contractor</w:t>
      </w:r>
      <w:r>
        <w:t xml:space="preserve"> is to submit a method statement for the trial to the </w:t>
      </w:r>
      <w:r w:rsidRPr="00FB1380">
        <w:rPr>
          <w:i/>
        </w:rPr>
        <w:t>Project Manager</w:t>
      </w:r>
      <w:r>
        <w:t xml:space="preserve"> for acceptance in accordance with Clause 21.  The method statement is to include:</w:t>
      </w:r>
    </w:p>
    <w:p w14:paraId="465468F7" w14:textId="77777777" w:rsidR="0071488E" w:rsidRDefault="0071488E" w:rsidP="003C14E5">
      <w:pPr>
        <w:pStyle w:val="ListBullet"/>
        <w:ind w:left="1276" w:hanging="567"/>
      </w:pPr>
      <w:r>
        <w:t xml:space="preserve">Risk Assessment and Method </w:t>
      </w:r>
      <w:r w:rsidRPr="00C54968">
        <w:t>Statement</w:t>
      </w:r>
      <w:r>
        <w:t xml:space="preserve"> compliant with STSC’s Procedures, </w:t>
      </w:r>
      <w:r>
        <w:fldChar w:fldCharType="begin"/>
      </w:r>
      <w:r>
        <w:instrText xml:space="preserve"> REF _Ref525296963 \r \h </w:instrText>
      </w:r>
      <w:r>
        <w:fldChar w:fldCharType="separate"/>
      </w:r>
      <w:r>
        <w:t>Appendix 6</w:t>
      </w:r>
      <w:r>
        <w:fldChar w:fldCharType="end"/>
      </w:r>
      <w:r>
        <w:t xml:space="preserve">, </w:t>
      </w:r>
      <w:r w:rsidRPr="00EE1342">
        <w:t xml:space="preserve">including the of design of all Equipment (temporary works) for the </w:t>
      </w:r>
      <w:r w:rsidRPr="00EE1342">
        <w:rPr>
          <w:i/>
        </w:rPr>
        <w:t>Project Manager</w:t>
      </w:r>
      <w:r w:rsidRPr="00EE1342">
        <w:t>’s acceptance</w:t>
      </w:r>
      <w:r>
        <w:t>, to be issued in accordance with Clause 21.</w:t>
      </w:r>
    </w:p>
    <w:p w14:paraId="62B0AB35" w14:textId="3DE47F19" w:rsidR="0035407C" w:rsidRDefault="002B6496" w:rsidP="003C14E5">
      <w:pPr>
        <w:pStyle w:val="ListBullet"/>
        <w:tabs>
          <w:tab w:val="num" w:pos="360"/>
        </w:tabs>
        <w:ind w:left="1276" w:hanging="567"/>
      </w:pPr>
      <w:r>
        <w:t>Fully costed estimate for the trial works priced in accordance with the Pricing Information.</w:t>
      </w:r>
    </w:p>
    <w:p w14:paraId="2EA4E9F2" w14:textId="23F0614A" w:rsidR="0035407C" w:rsidRDefault="0035407C" w:rsidP="003C14E5">
      <w:pPr>
        <w:pStyle w:val="Heading3"/>
        <w:ind w:left="700" w:hanging="700"/>
      </w:pPr>
      <w:r w:rsidRPr="000C720B">
        <w:rPr>
          <w:b/>
        </w:rPr>
        <w:t>Completion of Stage One</w:t>
      </w:r>
      <w:r>
        <w:t xml:space="preserve">.  The </w:t>
      </w:r>
      <w:r w:rsidR="00DD57E2">
        <w:t>Stage One</w:t>
      </w:r>
      <w:r>
        <w:t xml:space="preserve"> </w:t>
      </w:r>
      <w:r w:rsidR="00DD57E2">
        <w:t>C</w:t>
      </w:r>
      <w:r>
        <w:t xml:space="preserve">ompletion </w:t>
      </w:r>
      <w:r w:rsidR="00DD57E2">
        <w:t>Date</w:t>
      </w:r>
      <w:r>
        <w:t xml:space="preserve"> has been based on </w:t>
      </w:r>
      <w:r w:rsidR="00DD57E2">
        <w:t>a</w:t>
      </w:r>
      <w:r>
        <w:t xml:space="preserve">n estimate of the time required to complete the Stage One works using traditional techniques.  The </w:t>
      </w:r>
      <w:r w:rsidRPr="009C0018">
        <w:rPr>
          <w:i/>
        </w:rPr>
        <w:t>Project Manager</w:t>
      </w:r>
      <w:r>
        <w:t xml:space="preserve"> may instruct a change to this </w:t>
      </w:r>
      <w:r w:rsidR="00DD57E2">
        <w:t>d</w:t>
      </w:r>
      <w:r>
        <w:t>ate, this would be a compensation event under Clause 60.1 (4).</w:t>
      </w:r>
    </w:p>
    <w:p w14:paraId="57A2371F" w14:textId="7C8FD11B" w:rsidR="00D42486" w:rsidRDefault="00ED0B00" w:rsidP="003C14E5">
      <w:pPr>
        <w:pStyle w:val="Heading3"/>
        <w:ind w:left="700" w:hanging="700"/>
      </w:pPr>
      <w:r w:rsidRPr="00ED0B00">
        <w:rPr>
          <w:rStyle w:val="TitleText"/>
        </w:rPr>
        <w:lastRenderedPageBreak/>
        <w:t>Authority of the Official Receiver</w:t>
      </w:r>
      <w:r w:rsidRPr="00A663D6">
        <w:rPr>
          <w:rStyle w:val="TitleText"/>
          <w:b w:val="0"/>
        </w:rPr>
        <w:t>.</w:t>
      </w:r>
      <w:r w:rsidR="00D42486" w:rsidRPr="00A663D6">
        <w:rPr>
          <w:rStyle w:val="TitleText"/>
          <w:b w:val="0"/>
        </w:rPr>
        <w:t xml:space="preserve"> The Process </w:t>
      </w:r>
      <w:r w:rsidR="004E027B" w:rsidRPr="00A663D6">
        <w:rPr>
          <w:rStyle w:val="TitleText"/>
          <w:b w:val="0"/>
        </w:rPr>
        <w:t>Equipment</w:t>
      </w:r>
      <w:r w:rsidR="00D42486" w:rsidRPr="00A663D6">
        <w:rPr>
          <w:rStyle w:val="TitleText"/>
          <w:b w:val="0"/>
        </w:rPr>
        <w:t xml:space="preserve"> to be decontaminated belongs to the Official </w:t>
      </w:r>
      <w:r w:rsidR="004E027B" w:rsidRPr="00A663D6">
        <w:rPr>
          <w:rStyle w:val="TitleText"/>
          <w:b w:val="0"/>
        </w:rPr>
        <w:t>Receiver</w:t>
      </w:r>
      <w:r w:rsidR="00D42486" w:rsidRPr="00A663D6">
        <w:rPr>
          <w:rStyle w:val="TitleText"/>
          <w:b w:val="0"/>
        </w:rPr>
        <w:t xml:space="preserve"> </w:t>
      </w:r>
      <w:r w:rsidR="004E027B" w:rsidRPr="00A663D6">
        <w:rPr>
          <w:rStyle w:val="TitleText"/>
          <w:b w:val="0"/>
        </w:rPr>
        <w:t xml:space="preserve">who will be kept informed of the Decontamination Works.  </w:t>
      </w:r>
      <w:r w:rsidR="004C5742" w:rsidRPr="00A663D6">
        <w:rPr>
          <w:rStyle w:val="TitleText"/>
          <w:b w:val="0"/>
        </w:rPr>
        <w:t xml:space="preserve">Where the </w:t>
      </w:r>
      <w:r w:rsidR="004C5742" w:rsidRPr="00A768E1">
        <w:rPr>
          <w:rStyle w:val="TitleText"/>
          <w:b w:val="0"/>
          <w:i/>
        </w:rPr>
        <w:t>Contractor</w:t>
      </w:r>
      <w:r w:rsidR="004C5742" w:rsidRPr="00A663D6">
        <w:rPr>
          <w:rStyle w:val="TitleText"/>
          <w:b w:val="0"/>
        </w:rPr>
        <w:t xml:space="preserve">’s methodology </w:t>
      </w:r>
      <w:r w:rsidR="00A663D6">
        <w:rPr>
          <w:rStyle w:val="TitleText"/>
          <w:b w:val="0"/>
        </w:rPr>
        <w:t xml:space="preserve">could impact </w:t>
      </w:r>
      <w:r w:rsidR="00AC4165">
        <w:rPr>
          <w:rStyle w:val="TitleText"/>
          <w:b w:val="0"/>
        </w:rPr>
        <w:t>the Official Receiver’s asset</w:t>
      </w:r>
      <w:r w:rsidR="004E2955">
        <w:rPr>
          <w:rStyle w:val="TitleText"/>
          <w:b w:val="0"/>
        </w:rPr>
        <w:t xml:space="preserve"> there may be a requirement to obtain the Official Receiver’s approval for that methodology.  </w:t>
      </w:r>
      <w:r w:rsidR="00D42486">
        <w:t>The</w:t>
      </w:r>
      <w:r w:rsidR="00D442F3">
        <w:t xml:space="preserve"> </w:t>
      </w:r>
      <w:r w:rsidR="00D442F3" w:rsidRPr="00A768E1">
        <w:rPr>
          <w:i/>
        </w:rPr>
        <w:t>Contractor</w:t>
      </w:r>
      <w:r w:rsidR="00D442F3">
        <w:t xml:space="preserve"> is to </w:t>
      </w:r>
      <w:r w:rsidR="00A768E1">
        <w:t xml:space="preserve">cooperate with all reasonable requirements </w:t>
      </w:r>
      <w:r w:rsidR="00B052CE">
        <w:t xml:space="preserve">and </w:t>
      </w:r>
      <w:r w:rsidR="00D442F3">
        <w:t xml:space="preserve">allow reasonable time for the </w:t>
      </w:r>
      <w:r w:rsidR="00D42486" w:rsidRPr="00A663D6">
        <w:rPr>
          <w:i/>
        </w:rPr>
        <w:t>Employer</w:t>
      </w:r>
      <w:r w:rsidR="00D42486">
        <w:t xml:space="preserve"> is to obtain approvals for the </w:t>
      </w:r>
      <w:r w:rsidR="00D42486" w:rsidRPr="00A663D6">
        <w:rPr>
          <w:i/>
        </w:rPr>
        <w:t>Contractor</w:t>
      </w:r>
      <w:r w:rsidR="00D42486">
        <w:t>’s methodologies from the Official Receiver.</w:t>
      </w:r>
    </w:p>
    <w:p w14:paraId="07AFACA7" w14:textId="791EBAFE" w:rsidR="0035407C" w:rsidRDefault="0035407C" w:rsidP="00715F99">
      <w:pPr>
        <w:pStyle w:val="Heading2"/>
        <w:keepNext/>
      </w:pPr>
      <w:r w:rsidRPr="00650B8D">
        <w:rPr>
          <w:rStyle w:val="TitleText"/>
        </w:rPr>
        <w:t>Definition of Stage Two</w:t>
      </w:r>
      <w:r w:rsidR="00650B8D">
        <w:t>.</w:t>
      </w:r>
    </w:p>
    <w:p w14:paraId="797F3DEF" w14:textId="77777777" w:rsidR="0035407C" w:rsidRDefault="0035407C" w:rsidP="007056F0">
      <w:pPr>
        <w:pStyle w:val="BodyText"/>
        <w:keepNext/>
        <w:ind w:left="742"/>
      </w:pPr>
      <w:r>
        <w:t>Stage Two is the decontamination of the remainder of the works including, but not limited to:</w:t>
      </w:r>
    </w:p>
    <w:p w14:paraId="2177EDAA" w14:textId="77777777" w:rsidR="0035407C" w:rsidRDefault="0035407C" w:rsidP="004054C1">
      <w:pPr>
        <w:pStyle w:val="Heading3"/>
        <w:keepNext/>
      </w:pPr>
      <w:r w:rsidRPr="00D36F70">
        <w:rPr>
          <w:rStyle w:val="TitleText"/>
        </w:rPr>
        <w:t>Coke Oven Gas Main</w:t>
      </w:r>
      <w:r>
        <w:t xml:space="preserve">.  </w:t>
      </w:r>
    </w:p>
    <w:p w14:paraId="10E565B5" w14:textId="57D11A8A" w:rsidR="0035407C" w:rsidRDefault="0035407C" w:rsidP="003C14E5">
      <w:pPr>
        <w:pStyle w:val="Heading4"/>
        <w:ind w:left="756" w:hanging="756"/>
      </w:pPr>
      <w:r>
        <w:t>Stage Two is to include decontamination of all sections of the COGM</w:t>
      </w:r>
      <w:r w:rsidR="000F3347">
        <w:t xml:space="preserve">, as specified in </w:t>
      </w:r>
      <w:r w:rsidR="000F3347">
        <w:fldChar w:fldCharType="begin"/>
      </w:r>
      <w:r w:rsidR="000F3347">
        <w:instrText xml:space="preserve"> REF _Ref525297004 \r \h </w:instrText>
      </w:r>
      <w:r w:rsidR="000F3347">
        <w:fldChar w:fldCharType="separate"/>
      </w:r>
      <w:r w:rsidR="000F3347">
        <w:t>Appendix 1</w:t>
      </w:r>
      <w:r w:rsidR="000F3347">
        <w:fldChar w:fldCharType="end"/>
      </w:r>
      <w:r w:rsidR="000F3347">
        <w:t>,</w:t>
      </w:r>
      <w:r>
        <w:t xml:space="preserve"> not decontaminated in Stage One</w:t>
      </w:r>
      <w:r w:rsidR="00DD57E2">
        <w:t>.</w:t>
      </w:r>
    </w:p>
    <w:p w14:paraId="4B7B8727" w14:textId="1A0B472D" w:rsidR="0035407C" w:rsidRDefault="0035407C" w:rsidP="003C14E5">
      <w:pPr>
        <w:pStyle w:val="Heading4"/>
        <w:ind w:left="756" w:hanging="756"/>
      </w:pPr>
      <w:r>
        <w:t xml:space="preserve">Prior to proceeding to Stage Two, the </w:t>
      </w:r>
      <w:r w:rsidRPr="00DE6F9A">
        <w:rPr>
          <w:i/>
        </w:rPr>
        <w:t>Project Manager</w:t>
      </w:r>
      <w:r>
        <w:t xml:space="preserve"> may instruct the </w:t>
      </w:r>
      <w:r w:rsidRPr="00DE6F9A">
        <w:rPr>
          <w:i/>
        </w:rPr>
        <w:t>Contractor</w:t>
      </w:r>
      <w:r>
        <w:t xml:space="preserve"> to include or exclude sections of the COGM.</w:t>
      </w:r>
    </w:p>
    <w:p w14:paraId="5CFCB80F" w14:textId="148CB7E3" w:rsidR="0035407C" w:rsidRDefault="0035407C" w:rsidP="003C14E5">
      <w:pPr>
        <w:pStyle w:val="Heading3"/>
        <w:ind w:left="756" w:hanging="756"/>
      </w:pPr>
      <w:r w:rsidRPr="00D36F70">
        <w:rPr>
          <w:rStyle w:val="TitleText"/>
        </w:rPr>
        <w:t xml:space="preserve">South Bank </w:t>
      </w:r>
      <w:r w:rsidR="000F3347">
        <w:rPr>
          <w:rStyle w:val="TitleText"/>
        </w:rPr>
        <w:t xml:space="preserve">and Redcar </w:t>
      </w:r>
      <w:r w:rsidRPr="00D36F70">
        <w:rPr>
          <w:rStyle w:val="TitleText"/>
        </w:rPr>
        <w:t>Coke Ovens</w:t>
      </w:r>
      <w:r>
        <w:t>.</w:t>
      </w:r>
    </w:p>
    <w:p w14:paraId="662E0FEF" w14:textId="1A8FCB3D" w:rsidR="0035407C" w:rsidRDefault="0035407C" w:rsidP="003C14E5">
      <w:pPr>
        <w:pStyle w:val="Heading4"/>
        <w:keepNext w:val="0"/>
        <w:ind w:left="756" w:hanging="756"/>
      </w:pPr>
      <w:r>
        <w:t>Stage Two is to include decontamination of the remainder of the SBCO</w:t>
      </w:r>
      <w:r w:rsidR="000F3347">
        <w:t xml:space="preserve">, as specified in </w:t>
      </w:r>
      <w:r w:rsidR="000F3347">
        <w:fldChar w:fldCharType="begin"/>
      </w:r>
      <w:r w:rsidR="000F3347">
        <w:instrText xml:space="preserve"> REF _Ref525297020 \r \h </w:instrText>
      </w:r>
      <w:r w:rsidR="000F3347">
        <w:fldChar w:fldCharType="separate"/>
      </w:r>
      <w:r w:rsidR="000F3347">
        <w:t>Appendix 2</w:t>
      </w:r>
      <w:r w:rsidR="000F3347">
        <w:fldChar w:fldCharType="end"/>
      </w:r>
      <w:r w:rsidR="0019282A">
        <w:t xml:space="preserve">, </w:t>
      </w:r>
      <w:r>
        <w:t>and the whole of the RCO</w:t>
      </w:r>
      <w:r w:rsidR="0019282A">
        <w:t xml:space="preserve">, as specified in </w:t>
      </w:r>
      <w:r w:rsidR="0019282A">
        <w:fldChar w:fldCharType="begin"/>
      </w:r>
      <w:r w:rsidR="0019282A">
        <w:instrText xml:space="preserve"> REF _Ref525297031 \r \h </w:instrText>
      </w:r>
      <w:r w:rsidR="0019282A">
        <w:fldChar w:fldCharType="separate"/>
      </w:r>
      <w:r w:rsidR="0019282A">
        <w:t>Appendix 4</w:t>
      </w:r>
      <w:r w:rsidR="0019282A">
        <w:fldChar w:fldCharType="end"/>
      </w:r>
      <w:r>
        <w:t>.</w:t>
      </w:r>
    </w:p>
    <w:p w14:paraId="102620AA" w14:textId="77777777" w:rsidR="0035407C" w:rsidRDefault="0035407C" w:rsidP="003C14E5">
      <w:pPr>
        <w:pStyle w:val="Heading4"/>
        <w:keepNext w:val="0"/>
        <w:ind w:left="756" w:hanging="756"/>
      </w:pPr>
      <w:r>
        <w:t xml:space="preserve">Prior to proceeding to Stage Two the </w:t>
      </w:r>
      <w:r w:rsidRPr="00DE6F9A">
        <w:rPr>
          <w:i/>
        </w:rPr>
        <w:t>Project Manager</w:t>
      </w:r>
      <w:r>
        <w:t xml:space="preserve"> may </w:t>
      </w:r>
      <w:r w:rsidRPr="006854B4">
        <w:t>instruct</w:t>
      </w:r>
      <w:r>
        <w:t xml:space="preserve"> the </w:t>
      </w:r>
      <w:r w:rsidRPr="00DE6F9A">
        <w:rPr>
          <w:i/>
        </w:rPr>
        <w:t>Contractor</w:t>
      </w:r>
      <w:r>
        <w:t xml:space="preserve"> to include or exclude any aspects of the SBCO or RCO.</w:t>
      </w:r>
    </w:p>
    <w:p w14:paraId="21BFCF42" w14:textId="77777777" w:rsidR="0035407C" w:rsidRDefault="0035407C" w:rsidP="003C14E5">
      <w:pPr>
        <w:pStyle w:val="Heading3"/>
        <w:keepNext/>
        <w:ind w:left="756" w:hanging="756"/>
      </w:pPr>
      <w:r w:rsidRPr="000340DE">
        <w:rPr>
          <w:rStyle w:val="TitleText"/>
        </w:rPr>
        <w:t>Heavy Fuel Oil</w:t>
      </w:r>
      <w:r>
        <w:t>.</w:t>
      </w:r>
    </w:p>
    <w:p w14:paraId="567EE4FA" w14:textId="6B5AEC9A" w:rsidR="0035407C" w:rsidRDefault="0035407C" w:rsidP="003C14E5">
      <w:pPr>
        <w:pStyle w:val="Heading4"/>
        <w:ind w:left="756" w:hanging="756"/>
      </w:pPr>
      <w:r>
        <w:t xml:space="preserve">Stage Two includes the decontamination of the </w:t>
      </w:r>
      <w:r w:rsidR="0019282A">
        <w:t>HFO</w:t>
      </w:r>
      <w:r>
        <w:t xml:space="preserve"> system</w:t>
      </w:r>
      <w:r w:rsidR="0019282A">
        <w:t xml:space="preserve">, as specified in </w:t>
      </w:r>
      <w:r w:rsidR="0019282A">
        <w:fldChar w:fldCharType="begin"/>
      </w:r>
      <w:r w:rsidR="0019282A">
        <w:instrText xml:space="preserve"> REF _Ref525297025 \r \h </w:instrText>
      </w:r>
      <w:r w:rsidR="0019282A">
        <w:fldChar w:fldCharType="separate"/>
      </w:r>
      <w:r w:rsidR="0019282A">
        <w:t>Appendix 3</w:t>
      </w:r>
      <w:r w:rsidR="0019282A">
        <w:fldChar w:fldCharType="end"/>
      </w:r>
      <w:r>
        <w:t>.</w:t>
      </w:r>
    </w:p>
    <w:p w14:paraId="5D232808" w14:textId="77777777" w:rsidR="0035407C" w:rsidRPr="00282ED1" w:rsidRDefault="0035407C" w:rsidP="003C14E5">
      <w:pPr>
        <w:pStyle w:val="Heading4"/>
        <w:ind w:left="756" w:hanging="756"/>
      </w:pPr>
      <w:r>
        <w:t xml:space="preserve">Prior to proceeding to Stage Two, the </w:t>
      </w:r>
      <w:r w:rsidRPr="00EB0CBF">
        <w:rPr>
          <w:i/>
        </w:rPr>
        <w:t>Project</w:t>
      </w:r>
      <w:r w:rsidRPr="00DE6F9A">
        <w:rPr>
          <w:i/>
        </w:rPr>
        <w:t xml:space="preserve"> Manager</w:t>
      </w:r>
      <w:r>
        <w:t xml:space="preserve"> may instruct the </w:t>
      </w:r>
      <w:r w:rsidRPr="00DE6F9A">
        <w:rPr>
          <w:i/>
        </w:rPr>
        <w:t>Contractor</w:t>
      </w:r>
      <w:r>
        <w:t xml:space="preserve"> to include or exclude any parts of the HFO system.</w:t>
      </w:r>
    </w:p>
    <w:p w14:paraId="28C39340" w14:textId="7FF53A0A" w:rsidR="0035407C" w:rsidRDefault="0035407C" w:rsidP="004B7723">
      <w:pPr>
        <w:pStyle w:val="Heading3"/>
      </w:pPr>
      <w:r w:rsidRPr="00CF1740">
        <w:rPr>
          <w:rStyle w:val="TitleText"/>
        </w:rPr>
        <w:t xml:space="preserve">Reprocessing and disposal of </w:t>
      </w:r>
      <w:r w:rsidR="009E25A1">
        <w:rPr>
          <w:rStyle w:val="TitleText"/>
        </w:rPr>
        <w:t>Contents and Arisings</w:t>
      </w:r>
      <w:r>
        <w:t>.</w:t>
      </w:r>
    </w:p>
    <w:p w14:paraId="71F4B7A4" w14:textId="332DB11F" w:rsidR="0035407C" w:rsidRDefault="0035407C" w:rsidP="00103796">
      <w:pPr>
        <w:pStyle w:val="Heading4"/>
        <w:ind w:left="709" w:hanging="709"/>
      </w:pPr>
      <w:r>
        <w:t xml:space="preserve">Stage Two is to include the reprocessing and disposal of all </w:t>
      </w:r>
      <w:r w:rsidR="009E25A1" w:rsidRPr="009E25A1">
        <w:t>Contents and Arisings</w:t>
      </w:r>
      <w:r>
        <w:t xml:space="preserve"> generated during this stage.</w:t>
      </w:r>
    </w:p>
    <w:p w14:paraId="54361406" w14:textId="0FA3CCA8" w:rsidR="0035407C" w:rsidRDefault="0035407C" w:rsidP="00103796">
      <w:pPr>
        <w:pStyle w:val="Heading4"/>
        <w:ind w:left="709" w:hanging="709"/>
      </w:pPr>
      <w:r>
        <w:t xml:space="preserve">Prior to proceeding to Stage Two, the </w:t>
      </w:r>
      <w:r w:rsidRPr="00E2565F">
        <w:rPr>
          <w:i/>
        </w:rPr>
        <w:t>Project</w:t>
      </w:r>
      <w:r w:rsidRPr="00DE6F9A">
        <w:rPr>
          <w:i/>
        </w:rPr>
        <w:t xml:space="preserve"> Manager</w:t>
      </w:r>
      <w:r>
        <w:t xml:space="preserve"> may instruct the </w:t>
      </w:r>
      <w:r w:rsidRPr="00DE6F9A">
        <w:rPr>
          <w:i/>
        </w:rPr>
        <w:t>Contractor</w:t>
      </w:r>
      <w:r>
        <w:t xml:space="preserve"> to include </w:t>
      </w:r>
      <w:r w:rsidR="00FC732F" w:rsidRPr="009E25A1">
        <w:t>Contents and Arisings</w:t>
      </w:r>
      <w:r w:rsidR="00FC732F">
        <w:t xml:space="preserve"> </w:t>
      </w:r>
      <w:r>
        <w:t xml:space="preserve">from other sources or </w:t>
      </w:r>
      <w:r w:rsidR="00FC732F">
        <w:t xml:space="preserve">remove the reprocessing and disposal </w:t>
      </w:r>
      <w:r w:rsidR="00FC732F" w:rsidRPr="009E25A1">
        <w:t>Contents and Arisings</w:t>
      </w:r>
      <w:r w:rsidR="00FC732F">
        <w:t xml:space="preserve"> </w:t>
      </w:r>
      <w:r>
        <w:t>out of the contract.</w:t>
      </w:r>
    </w:p>
    <w:p w14:paraId="39AB175A" w14:textId="77777777" w:rsidR="0035407C" w:rsidRDefault="0035407C" w:rsidP="004B7723">
      <w:pPr>
        <w:pStyle w:val="Heading2"/>
      </w:pPr>
      <w:r w:rsidRPr="004B7723">
        <w:rPr>
          <w:b/>
        </w:rPr>
        <w:t>Proposals for Stage Two</w:t>
      </w:r>
      <w:r>
        <w:t xml:space="preserve">.  </w:t>
      </w:r>
    </w:p>
    <w:p w14:paraId="73ABA41F" w14:textId="487C3F00" w:rsidR="0035407C" w:rsidRDefault="0035407C" w:rsidP="00C451DD">
      <w:pPr>
        <w:pStyle w:val="Heading3"/>
        <w:ind w:left="742" w:hanging="742"/>
      </w:pPr>
      <w:r>
        <w:t xml:space="preserve">During Stage Two the </w:t>
      </w:r>
      <w:r w:rsidRPr="00B5605C">
        <w:rPr>
          <w:i/>
        </w:rPr>
        <w:t>Contractor</w:t>
      </w:r>
      <w:r>
        <w:t xml:space="preserve"> is to decontaminate the remainder of the </w:t>
      </w:r>
      <w:r w:rsidR="00B128C7">
        <w:t>Process Equipment, as defined in Appendices 1 to 4,</w:t>
      </w:r>
      <w:r>
        <w:t xml:space="preserve"> </w:t>
      </w:r>
      <w:r w:rsidR="0072685A">
        <w:t xml:space="preserve">to the standard specified in </w:t>
      </w:r>
      <w:r w:rsidR="0072685A">
        <w:fldChar w:fldCharType="begin"/>
      </w:r>
      <w:r w:rsidR="0072685A">
        <w:instrText xml:space="preserve"> REF _Ref525303265 \h </w:instrText>
      </w:r>
      <w:r w:rsidR="0072685A">
        <w:fldChar w:fldCharType="separate"/>
      </w:r>
      <w:r w:rsidR="0072685A">
        <w:t>Performance Specification</w:t>
      </w:r>
      <w:r w:rsidR="0072685A">
        <w:fldChar w:fldCharType="end"/>
      </w:r>
      <w:r w:rsidR="0072685A">
        <w:t>, of the Works Information</w:t>
      </w:r>
      <w:r>
        <w:t xml:space="preserve">.  The </w:t>
      </w:r>
      <w:r w:rsidRPr="00C3508F">
        <w:rPr>
          <w:i/>
        </w:rPr>
        <w:t>Contractor</w:t>
      </w:r>
      <w:r>
        <w:t xml:space="preserve">’s design proposals for Stage Two are to follow the methodologies </w:t>
      </w:r>
      <w:r w:rsidR="00DD57E2">
        <w:t>trial</w:t>
      </w:r>
      <w:r w:rsidR="00C451DD">
        <w:t>l</w:t>
      </w:r>
      <w:r w:rsidR="00DD57E2">
        <w:t>ed</w:t>
      </w:r>
      <w:r>
        <w:t xml:space="preserve"> in Stage One and accepted by the </w:t>
      </w:r>
      <w:r w:rsidRPr="00127FD2">
        <w:rPr>
          <w:i/>
        </w:rPr>
        <w:t>Project Manager</w:t>
      </w:r>
      <w:r w:rsidR="00C451DD">
        <w:t>.</w:t>
      </w:r>
    </w:p>
    <w:p w14:paraId="1AC41D98" w14:textId="45EDB331" w:rsidR="0035407C" w:rsidRPr="006A389C" w:rsidRDefault="0035407C" w:rsidP="00C451DD">
      <w:pPr>
        <w:pStyle w:val="Heading3"/>
        <w:ind w:left="742" w:hanging="742"/>
        <w:rPr>
          <w:b/>
        </w:rPr>
      </w:pPr>
      <w:r w:rsidRPr="006A389C">
        <w:rPr>
          <w:rStyle w:val="TitleText"/>
          <w:b w:val="0"/>
        </w:rPr>
        <w:t xml:space="preserve">The </w:t>
      </w:r>
      <w:r w:rsidRPr="00A463C2">
        <w:rPr>
          <w:rStyle w:val="TitleText"/>
          <w:b w:val="0"/>
          <w:i/>
        </w:rPr>
        <w:t>Contractor</w:t>
      </w:r>
      <w:r w:rsidRPr="006A389C">
        <w:rPr>
          <w:rStyle w:val="TitleText"/>
          <w:b w:val="0"/>
        </w:rPr>
        <w:t xml:space="preserve">’s </w:t>
      </w:r>
      <w:r>
        <w:rPr>
          <w:rStyle w:val="TitleText"/>
          <w:b w:val="0"/>
        </w:rPr>
        <w:t xml:space="preserve">design proposals are to include a fully resourced programme that supports the </w:t>
      </w:r>
      <w:r w:rsidRPr="00A463C2">
        <w:rPr>
          <w:rStyle w:val="TitleText"/>
          <w:b w:val="0"/>
          <w:i/>
        </w:rPr>
        <w:t>Contractor</w:t>
      </w:r>
      <w:r>
        <w:rPr>
          <w:rStyle w:val="TitleText"/>
          <w:b w:val="0"/>
        </w:rPr>
        <w:t xml:space="preserve">’s forecast </w:t>
      </w:r>
      <w:r w:rsidR="00DD57E2">
        <w:rPr>
          <w:rStyle w:val="TitleText"/>
          <w:b w:val="0"/>
        </w:rPr>
        <w:t xml:space="preserve">of the </w:t>
      </w:r>
      <w:r>
        <w:rPr>
          <w:rStyle w:val="TitleText"/>
          <w:b w:val="0"/>
        </w:rPr>
        <w:t xml:space="preserve">total Defined Cost.  </w:t>
      </w:r>
      <w:r w:rsidR="00B128C7">
        <w:rPr>
          <w:rStyle w:val="TitleText"/>
          <w:b w:val="0"/>
        </w:rPr>
        <w:t xml:space="preserve">This programme is to comply with the definition of the programme specified in </w:t>
      </w:r>
      <w:r w:rsidR="00B128C7">
        <w:rPr>
          <w:rStyle w:val="TitleText"/>
          <w:b w:val="0"/>
        </w:rPr>
        <w:fldChar w:fldCharType="begin"/>
      </w:r>
      <w:r w:rsidR="00B128C7">
        <w:rPr>
          <w:rStyle w:val="TitleText"/>
          <w:b w:val="0"/>
        </w:rPr>
        <w:instrText xml:space="preserve"> REF _Ref525297095 \r \h </w:instrText>
      </w:r>
      <w:r w:rsidR="00B128C7">
        <w:rPr>
          <w:rStyle w:val="TitleText"/>
          <w:b w:val="0"/>
        </w:rPr>
      </w:r>
      <w:r w:rsidR="00B128C7">
        <w:rPr>
          <w:rStyle w:val="TitleText"/>
          <w:b w:val="0"/>
        </w:rPr>
        <w:fldChar w:fldCharType="separate"/>
      </w:r>
      <w:r w:rsidR="00B128C7">
        <w:rPr>
          <w:rStyle w:val="TitleText"/>
          <w:b w:val="0"/>
        </w:rPr>
        <w:t>Appendix 5</w:t>
      </w:r>
      <w:r w:rsidR="00B128C7">
        <w:rPr>
          <w:rStyle w:val="TitleText"/>
          <w:b w:val="0"/>
        </w:rPr>
        <w:fldChar w:fldCharType="end"/>
      </w:r>
      <w:r w:rsidR="00B777B4">
        <w:rPr>
          <w:rStyle w:val="TitleText"/>
          <w:b w:val="0"/>
        </w:rPr>
        <w:t xml:space="preserve"> and </w:t>
      </w:r>
      <w:r>
        <w:rPr>
          <w:rStyle w:val="TitleText"/>
          <w:b w:val="0"/>
        </w:rPr>
        <w:t>is to be submitted under Clause 31.</w:t>
      </w:r>
    </w:p>
    <w:p w14:paraId="70B00C15" w14:textId="485170E6" w:rsidR="0035407C" w:rsidRDefault="0035407C" w:rsidP="00C451DD">
      <w:pPr>
        <w:pStyle w:val="Heading3"/>
        <w:ind w:left="742" w:hanging="742"/>
      </w:pPr>
      <w:r>
        <w:t xml:space="preserve">The </w:t>
      </w:r>
      <w:r w:rsidRPr="00C3508F">
        <w:rPr>
          <w:i/>
        </w:rPr>
        <w:t>Contractor</w:t>
      </w:r>
      <w:r>
        <w:t xml:space="preserve">’s design proposals are to be issued to the </w:t>
      </w:r>
      <w:r w:rsidRPr="00127FD2">
        <w:rPr>
          <w:i/>
        </w:rPr>
        <w:t>Project Manager</w:t>
      </w:r>
      <w:r>
        <w:t xml:space="preserve"> no later than twice the </w:t>
      </w:r>
      <w:r w:rsidRPr="00CC68D4">
        <w:rPr>
          <w:i/>
        </w:rPr>
        <w:t>period for reply</w:t>
      </w:r>
      <w:r>
        <w:t xml:space="preserve"> prior to Completion </w:t>
      </w:r>
      <w:r w:rsidR="00DD57E2">
        <w:t>Date for</w:t>
      </w:r>
      <w:r>
        <w:t xml:space="preserve"> Stage One.</w:t>
      </w:r>
    </w:p>
    <w:p w14:paraId="2CCC86DA" w14:textId="77777777" w:rsidR="0035407C" w:rsidRDefault="0035407C" w:rsidP="00C451DD">
      <w:pPr>
        <w:pStyle w:val="Heading3"/>
        <w:ind w:left="742" w:hanging="742"/>
      </w:pPr>
      <w:r>
        <w:t xml:space="preserve">Should the </w:t>
      </w:r>
      <w:r>
        <w:rPr>
          <w:i/>
        </w:rPr>
        <w:t>Project Manager</w:t>
      </w:r>
      <w:r>
        <w:t xml:space="preserve"> or the </w:t>
      </w:r>
      <w:r w:rsidRPr="00B5605C">
        <w:rPr>
          <w:i/>
        </w:rPr>
        <w:t>Contractor</w:t>
      </w:r>
      <w:r>
        <w:t xml:space="preserve"> propose a revised methodology aimed at further improving Value for Money the </w:t>
      </w:r>
      <w:r w:rsidRPr="008850CF">
        <w:rPr>
          <w:i/>
        </w:rPr>
        <w:t>Contractor</w:t>
      </w:r>
      <w:r>
        <w:t xml:space="preserve"> is to submit a method statement for a trial of the revised methodology to the </w:t>
      </w:r>
      <w:r w:rsidRPr="00C42A88">
        <w:rPr>
          <w:i/>
        </w:rPr>
        <w:t>Project Manager</w:t>
      </w:r>
      <w:r>
        <w:t xml:space="preserve"> for acceptance in accordance with Clause 21.  The method statement is to include:</w:t>
      </w:r>
    </w:p>
    <w:p w14:paraId="2DAE5D4A" w14:textId="77777777" w:rsidR="0071488E" w:rsidRDefault="0071488E" w:rsidP="003C14E5">
      <w:pPr>
        <w:pStyle w:val="ListBullet"/>
        <w:ind w:left="1276" w:hanging="567"/>
      </w:pPr>
      <w:r>
        <w:lastRenderedPageBreak/>
        <w:t xml:space="preserve">Risk Assessment and Method </w:t>
      </w:r>
      <w:r w:rsidRPr="00C54968">
        <w:t>Statement</w:t>
      </w:r>
      <w:r>
        <w:t xml:space="preserve"> compliant with STSC’s Procedures, </w:t>
      </w:r>
      <w:r>
        <w:fldChar w:fldCharType="begin"/>
      </w:r>
      <w:r>
        <w:instrText xml:space="preserve"> REF _Ref525296963 \r \h </w:instrText>
      </w:r>
      <w:r>
        <w:fldChar w:fldCharType="separate"/>
      </w:r>
      <w:r>
        <w:t>Appendix 6</w:t>
      </w:r>
      <w:r>
        <w:fldChar w:fldCharType="end"/>
      </w:r>
      <w:r>
        <w:t xml:space="preserve">, </w:t>
      </w:r>
      <w:r w:rsidRPr="00EE1342">
        <w:t xml:space="preserve">including the of design of all Equipment (temporary works) for the </w:t>
      </w:r>
      <w:r w:rsidRPr="00EE1342">
        <w:rPr>
          <w:i/>
        </w:rPr>
        <w:t>Project Manager</w:t>
      </w:r>
      <w:r w:rsidRPr="00EE1342">
        <w:t>’s acceptance</w:t>
      </w:r>
      <w:r>
        <w:t>, to be issued in accordance with Clause 21.</w:t>
      </w:r>
    </w:p>
    <w:p w14:paraId="619F3487" w14:textId="5AFDF6EF" w:rsidR="0035407C" w:rsidRDefault="002B6496" w:rsidP="003C14E5">
      <w:pPr>
        <w:pStyle w:val="ListBullet"/>
        <w:tabs>
          <w:tab w:val="num" w:pos="360"/>
        </w:tabs>
        <w:ind w:left="1276" w:hanging="567"/>
      </w:pPr>
      <w:r>
        <w:t>Fully costed estimate for the trial works priced in accordance with the Pricing Information.</w:t>
      </w:r>
    </w:p>
    <w:p w14:paraId="5B57FEB8" w14:textId="6189B9FD" w:rsidR="0035407C" w:rsidRDefault="0035407C" w:rsidP="00715F99">
      <w:pPr>
        <w:pStyle w:val="Heading2"/>
        <w:keepNext/>
      </w:pPr>
      <w:r w:rsidRPr="004B7723">
        <w:rPr>
          <w:rStyle w:val="TitleText"/>
        </w:rPr>
        <w:t>Performance Requirements</w:t>
      </w:r>
      <w:r w:rsidR="004B7723">
        <w:t>.</w:t>
      </w:r>
    </w:p>
    <w:p w14:paraId="59D3C4AA" w14:textId="4FF38223" w:rsidR="0035407C" w:rsidRPr="004B7723" w:rsidRDefault="0035407C" w:rsidP="00C451DD">
      <w:pPr>
        <w:pStyle w:val="Heading3"/>
        <w:ind w:left="700" w:hanging="700"/>
      </w:pPr>
      <w:r>
        <w:t xml:space="preserve">Through the Stage One </w:t>
      </w:r>
      <w:r w:rsidR="00E85333">
        <w:t>trials;</w:t>
      </w:r>
      <w:r>
        <w:t xml:space="preserve"> the </w:t>
      </w:r>
      <w:r w:rsidRPr="00975066">
        <w:rPr>
          <w:i/>
        </w:rPr>
        <w:t>Contractor</w:t>
      </w:r>
      <w:r>
        <w:t xml:space="preserve"> is to demonstrate to the </w:t>
      </w:r>
      <w:r w:rsidRPr="00975066">
        <w:rPr>
          <w:i/>
        </w:rPr>
        <w:t>Project Manager</w:t>
      </w:r>
      <w:r>
        <w:t>’s satisfaction that the methodologies proposed for Stage Two wil</w:t>
      </w:r>
      <w:r w:rsidRPr="004B7723">
        <w:t>l achieve the standards for decontamination defined in the Works Information.</w:t>
      </w:r>
    </w:p>
    <w:p w14:paraId="2C2C9636" w14:textId="2A3C5119" w:rsidR="0035407C" w:rsidRDefault="0035407C" w:rsidP="00C451DD">
      <w:pPr>
        <w:pStyle w:val="Heading3"/>
        <w:ind w:left="700" w:hanging="700"/>
      </w:pPr>
      <w:r w:rsidRPr="004B7723">
        <w:t xml:space="preserve">Through the Stage One </w:t>
      </w:r>
      <w:r w:rsidR="00E85333" w:rsidRPr="004B7723">
        <w:t>trials;</w:t>
      </w:r>
      <w:r w:rsidRPr="004B7723">
        <w:t xml:space="preserve"> the Contractor is to demonstrate</w:t>
      </w:r>
      <w:r>
        <w:t xml:space="preserve"> to the </w:t>
      </w:r>
      <w:r w:rsidRPr="00975066">
        <w:rPr>
          <w:i/>
        </w:rPr>
        <w:t>Project Manager</w:t>
      </w:r>
      <w:r>
        <w:t>’s satisfaction that the methodologies proposed for Stage Two will optimise the value of all contents and arisings.</w:t>
      </w:r>
    </w:p>
    <w:p w14:paraId="458B5109" w14:textId="7DB4295C" w:rsidR="0035407C" w:rsidRDefault="0035407C" w:rsidP="00C451DD">
      <w:pPr>
        <w:pStyle w:val="Heading3"/>
        <w:ind w:left="700" w:hanging="700"/>
      </w:pPr>
      <w:r>
        <w:t xml:space="preserve">The </w:t>
      </w:r>
      <w:r w:rsidRPr="00C3508F">
        <w:rPr>
          <w:i/>
        </w:rPr>
        <w:t>Contractor</w:t>
      </w:r>
      <w:r>
        <w:t xml:space="preserve">’s design proposals are to be issued to the </w:t>
      </w:r>
      <w:r w:rsidRPr="00127FD2">
        <w:rPr>
          <w:i/>
        </w:rPr>
        <w:t>Project Manager</w:t>
      </w:r>
      <w:r>
        <w:t xml:space="preserve"> no later than twice the </w:t>
      </w:r>
      <w:r w:rsidRPr="00CC68D4">
        <w:rPr>
          <w:i/>
        </w:rPr>
        <w:t>period for reply</w:t>
      </w:r>
      <w:r>
        <w:t xml:space="preserve"> prior to </w:t>
      </w:r>
      <w:r w:rsidR="00C451DD">
        <w:t xml:space="preserve">the </w:t>
      </w:r>
      <w:r>
        <w:t xml:space="preserve">Completion </w:t>
      </w:r>
      <w:r w:rsidR="00C451DD">
        <w:t>Date for</w:t>
      </w:r>
      <w:r>
        <w:t xml:space="preserve"> Stage One.</w:t>
      </w:r>
    </w:p>
    <w:p w14:paraId="5B6F6E47" w14:textId="77777777" w:rsidR="009D362C" w:rsidRDefault="009D362C">
      <w:pPr>
        <w:spacing w:after="200" w:line="276" w:lineRule="auto"/>
      </w:pPr>
      <w:r>
        <w:br w:type="page"/>
      </w:r>
    </w:p>
    <w:p w14:paraId="07FC1B23" w14:textId="5639C99D" w:rsidR="00235EE7" w:rsidRDefault="00235EE7" w:rsidP="00235EE7">
      <w:pPr>
        <w:pStyle w:val="Heading1"/>
      </w:pPr>
      <w:bookmarkStart w:id="8" w:name="_Toc527988012"/>
      <w:r>
        <w:lastRenderedPageBreak/>
        <w:t xml:space="preserve">Pricing </w:t>
      </w:r>
      <w:r w:rsidR="001C210A">
        <w:t xml:space="preserve">Information / </w:t>
      </w:r>
      <w:r>
        <w:t>Activity Schedule</w:t>
      </w:r>
      <w:bookmarkEnd w:id="8"/>
      <w:r>
        <w:t xml:space="preserve">  </w:t>
      </w:r>
    </w:p>
    <w:p w14:paraId="10668568" w14:textId="3986CC90" w:rsidR="00296E90" w:rsidRPr="00296E90" w:rsidRDefault="00296E90" w:rsidP="00296E90">
      <w:pPr>
        <w:pStyle w:val="Heading2"/>
        <w:keepNext/>
        <w:ind w:left="0" w:firstLine="0"/>
        <w:rPr>
          <w:rStyle w:val="TitleText"/>
        </w:rPr>
      </w:pPr>
      <w:r w:rsidRPr="00296E90">
        <w:rPr>
          <w:rStyle w:val="TitleText"/>
        </w:rPr>
        <w:t>STSC SSI Asset Value</w:t>
      </w:r>
    </w:p>
    <w:p w14:paraId="03627CD1" w14:textId="014A0D2C" w:rsidR="00296E90" w:rsidRPr="00296E90" w:rsidRDefault="00296E90" w:rsidP="00296E90">
      <w:pPr>
        <w:pStyle w:val="Heading3"/>
        <w:rPr>
          <w:rStyle w:val="TitleText"/>
          <w:b w:val="0"/>
        </w:rPr>
      </w:pPr>
      <w:r w:rsidRPr="00296E90">
        <w:rPr>
          <w:rStyle w:val="TitleText"/>
          <w:b w:val="0"/>
        </w:rPr>
        <w:t xml:space="preserve">It should be noted that ideally, the chosen method of decontamination should not affect the value of the Assets – neither reducing or enhancing this value.  </w:t>
      </w:r>
      <w:proofErr w:type="gramStart"/>
      <w:r w:rsidRPr="00296E90">
        <w:rPr>
          <w:rStyle w:val="TitleText"/>
          <w:b w:val="0"/>
        </w:rPr>
        <w:t>If</w:t>
      </w:r>
      <w:proofErr w:type="gramEnd"/>
      <w:r w:rsidRPr="00296E90">
        <w:rPr>
          <w:rStyle w:val="TitleText"/>
          <w:b w:val="0"/>
        </w:rPr>
        <w:t xml:space="preserve"> however, the methods proposed will likely result in such a change, for example to reduce overall risk or cost, then this should be made clear at the return of Bids stage as approval will need to be sought from the Official Receiver.</w:t>
      </w:r>
    </w:p>
    <w:p w14:paraId="6DA9C862" w14:textId="0E0C7EBB" w:rsidR="00235EE7" w:rsidRDefault="00235EE7" w:rsidP="00F73F08">
      <w:pPr>
        <w:pStyle w:val="Heading2"/>
        <w:keepNext/>
        <w:ind w:left="0" w:firstLine="0"/>
      </w:pPr>
      <w:r w:rsidRPr="00F73F08">
        <w:rPr>
          <w:rStyle w:val="TitleText"/>
        </w:rPr>
        <w:t>The Pricing Information</w:t>
      </w:r>
    </w:p>
    <w:p w14:paraId="25793A0F" w14:textId="77777777" w:rsidR="00235EE7" w:rsidRDefault="00235EE7" w:rsidP="00F73F08">
      <w:pPr>
        <w:pStyle w:val="Heading3"/>
        <w:ind w:left="700" w:hanging="700"/>
      </w:pPr>
      <w:r>
        <w:tab/>
        <w:t>The elements pre-populated in the Pricing Information, are indicative only. Tenderers may amend the information to suit his business model. The Tenderer may insert new elements / rows but may not otherwise amend the format without approval from the Employer.</w:t>
      </w:r>
      <w:r>
        <w:tab/>
      </w:r>
    </w:p>
    <w:p w14:paraId="36B51F00" w14:textId="77777777" w:rsidR="00235EE7" w:rsidRDefault="00235EE7" w:rsidP="00F73F08">
      <w:pPr>
        <w:pStyle w:val="Heading3"/>
        <w:ind w:left="700" w:hanging="700"/>
      </w:pPr>
      <w:r>
        <w:t xml:space="preserve">Tenderers are to complete the Pricing Information by entering information in the yellow highlighted cells. </w:t>
      </w:r>
    </w:p>
    <w:p w14:paraId="5D731CC3" w14:textId="77777777" w:rsidR="00235EE7" w:rsidRDefault="00235EE7" w:rsidP="00F73F08">
      <w:pPr>
        <w:pStyle w:val="Heading3"/>
        <w:ind w:left="700" w:hanging="700"/>
      </w:pPr>
      <w:r>
        <w:t xml:space="preserve">Tenderers shall complete the Pricing Information with </w:t>
      </w:r>
      <w:proofErr w:type="gramStart"/>
      <w:r>
        <w:t>all of</w:t>
      </w:r>
      <w:proofErr w:type="gramEnd"/>
      <w:r>
        <w:t xml:space="preserve"> the pricing information required to carry out and complete the Decontamination Project.</w:t>
      </w:r>
    </w:p>
    <w:p w14:paraId="242355E9" w14:textId="77777777" w:rsidR="00235EE7" w:rsidRDefault="00235EE7" w:rsidP="00F73F08">
      <w:pPr>
        <w:pStyle w:val="Heading3"/>
        <w:ind w:left="700" w:hanging="700"/>
      </w:pPr>
      <w:r>
        <w:t>However, Tenderers shall note that the Pricing Scenarios, which will be the basis of the comparison of the prices submitted at Tender stage, must be populated with the prices provided in the Pricing Information and must be returned full and complete.</w:t>
      </w:r>
    </w:p>
    <w:p w14:paraId="7AA382CA" w14:textId="77777777" w:rsidR="00235EE7" w:rsidRDefault="00235EE7" w:rsidP="00F73F08">
      <w:pPr>
        <w:pStyle w:val="Heading3"/>
        <w:ind w:left="700" w:hanging="700"/>
      </w:pPr>
      <w:r>
        <w:t>Tenderers shall use the Pricing Information to calculate the prices shown in the activity schedules for Stage One and Stage Two.</w:t>
      </w:r>
      <w:r>
        <w:tab/>
      </w:r>
    </w:p>
    <w:p w14:paraId="6DDD7398" w14:textId="77777777" w:rsidR="00235EE7" w:rsidRPr="00F73F08" w:rsidRDefault="00235EE7" w:rsidP="00F73F08">
      <w:pPr>
        <w:pStyle w:val="Heading2"/>
        <w:keepNext/>
        <w:ind w:left="0" w:firstLine="0"/>
        <w:rPr>
          <w:rStyle w:val="TitleText"/>
        </w:rPr>
      </w:pPr>
      <w:r w:rsidRPr="00F73F08">
        <w:rPr>
          <w:rStyle w:val="TitleText"/>
        </w:rPr>
        <w:t>Stage One</w:t>
      </w:r>
    </w:p>
    <w:p w14:paraId="63A883EE" w14:textId="77777777" w:rsidR="00235EE7" w:rsidRDefault="00235EE7" w:rsidP="00F73F08">
      <w:pPr>
        <w:pStyle w:val="Heading3"/>
        <w:ind w:left="700" w:hanging="700"/>
      </w:pPr>
      <w:r w:rsidRPr="00A56DFC">
        <w:t xml:space="preserve">Tenderers are to submit an activity schedule </w:t>
      </w:r>
      <w:r>
        <w:t xml:space="preserve">for Stage One </w:t>
      </w:r>
      <w:r w:rsidRPr="00A56DFC">
        <w:t xml:space="preserve">with their tenders. This will be a document headed ‘activity schedule’ and will comprise a list of activities with an amount entered against each activity. </w:t>
      </w:r>
      <w:r>
        <w:t xml:space="preserve"> The activities may be of the Tenderers own choosing but a</w:t>
      </w:r>
      <w:r w:rsidRPr="00A56DFC">
        <w:t xml:space="preserve">ctivity descriptions must be clear and complete so that the work included in each can be identiﬁed and the completion of each activity easily recognised. </w:t>
      </w:r>
    </w:p>
    <w:p w14:paraId="52DA2916" w14:textId="77777777" w:rsidR="00235EE7" w:rsidRDefault="00235EE7" w:rsidP="00F73F08">
      <w:pPr>
        <w:pStyle w:val="Heading3"/>
        <w:ind w:left="700" w:hanging="700"/>
      </w:pPr>
      <w:r>
        <w:t xml:space="preserve">The Tenderer shall use the Pricing Information to calculate the Prices. </w:t>
      </w:r>
    </w:p>
    <w:p w14:paraId="166712DA" w14:textId="77777777" w:rsidR="00235EE7" w:rsidRDefault="00235EE7" w:rsidP="00F73F08">
      <w:pPr>
        <w:pStyle w:val="Heading3"/>
        <w:ind w:left="700" w:hanging="700"/>
      </w:pPr>
      <w:r>
        <w:t xml:space="preserve">The format required for the activity schedule shall be as sheets, “activity schedule – summary” and “activity schedule – detail” in the Pricing Information. The pre-populated information shown in these sheets is indicative of the works to be carried out in Stage One. The Tenderer shall add, omit or amend any items as the Tenderer deems appropriate. </w:t>
      </w:r>
    </w:p>
    <w:p w14:paraId="0B4AF137" w14:textId="77777777" w:rsidR="00235EE7" w:rsidRDefault="00235EE7" w:rsidP="00F73F08">
      <w:pPr>
        <w:pStyle w:val="Heading3"/>
        <w:ind w:left="700" w:hanging="700"/>
      </w:pPr>
      <w:r>
        <w:t xml:space="preserve">The Tenderer can insert new rows against the items in sheet; activity schedule – detail in order that the item sub-totals are whole and complete. The completed activity schedule shall include </w:t>
      </w:r>
      <w:proofErr w:type="gramStart"/>
      <w:r>
        <w:t>all of</w:t>
      </w:r>
      <w:proofErr w:type="gramEnd"/>
      <w:r>
        <w:t xml:space="preserve"> the works required to complete Stage One.</w:t>
      </w:r>
    </w:p>
    <w:p w14:paraId="55149169" w14:textId="77777777" w:rsidR="00235EE7" w:rsidRPr="00F73F08" w:rsidRDefault="00235EE7" w:rsidP="00F73F08">
      <w:pPr>
        <w:pStyle w:val="Heading2"/>
        <w:keepNext/>
        <w:ind w:left="0" w:firstLine="0"/>
        <w:rPr>
          <w:rStyle w:val="TitleText"/>
        </w:rPr>
      </w:pPr>
      <w:r w:rsidRPr="00F73F08">
        <w:rPr>
          <w:rStyle w:val="TitleText"/>
        </w:rPr>
        <w:t xml:space="preserve">Stage Two </w:t>
      </w:r>
    </w:p>
    <w:p w14:paraId="111B5F76" w14:textId="77777777" w:rsidR="00235EE7" w:rsidRDefault="00235EE7" w:rsidP="00F73F08">
      <w:pPr>
        <w:pStyle w:val="Heading3"/>
        <w:ind w:left="700" w:hanging="700"/>
      </w:pPr>
      <w:r>
        <w:t xml:space="preserve">The Contractor will be required to provide the Assessment of the Prices for Stage Two by the dates for submission stated in the contract. </w:t>
      </w:r>
    </w:p>
    <w:p w14:paraId="6229DE13" w14:textId="77777777" w:rsidR="00235EE7" w:rsidRDefault="00235EE7" w:rsidP="00F73F08">
      <w:pPr>
        <w:pStyle w:val="Heading3"/>
        <w:ind w:left="700" w:hanging="700"/>
      </w:pPr>
      <w:r>
        <w:t xml:space="preserve">The format required for the activity schedule shall be as sheets, “activity schedule – summary” and </w:t>
      </w:r>
      <w:bookmarkStart w:id="9" w:name="_Hlk526260998"/>
      <w:r>
        <w:t>“activity schedule – detail” in the Pricing Information</w:t>
      </w:r>
      <w:bookmarkEnd w:id="9"/>
      <w:r>
        <w:t xml:space="preserve">. </w:t>
      </w:r>
    </w:p>
    <w:p w14:paraId="7B395F2F" w14:textId="5C6A205F" w:rsidR="00235EE7" w:rsidRDefault="00235EE7" w:rsidP="00F73F08">
      <w:pPr>
        <w:pStyle w:val="Heading3"/>
        <w:ind w:left="700" w:hanging="700"/>
      </w:pPr>
      <w:r>
        <w:t xml:space="preserve">The activities may be of the Contractor’s own </w:t>
      </w:r>
      <w:r w:rsidR="00F73F08">
        <w:t>choosing,</w:t>
      </w:r>
      <w:r>
        <w:t xml:space="preserve"> but a</w:t>
      </w:r>
      <w:r w:rsidRPr="00A56DFC">
        <w:t xml:space="preserve">ctivity descriptions must be clear and complete so that the work included in each can be identiﬁed and the completion of each activity easily recognised. </w:t>
      </w:r>
    </w:p>
    <w:p w14:paraId="63057792" w14:textId="77777777" w:rsidR="00235EE7" w:rsidRDefault="00235EE7" w:rsidP="00F73F08">
      <w:pPr>
        <w:pStyle w:val="Heading3"/>
        <w:ind w:left="700" w:hanging="700"/>
      </w:pPr>
      <w:r>
        <w:lastRenderedPageBreak/>
        <w:t xml:space="preserve">The Contractor shall use the Pricing Information to calculate the Prices. </w:t>
      </w:r>
    </w:p>
    <w:p w14:paraId="63C912A6" w14:textId="77777777" w:rsidR="00235EE7" w:rsidRDefault="00235EE7" w:rsidP="00F73F08">
      <w:pPr>
        <w:pStyle w:val="Heading3"/>
        <w:ind w:left="700" w:hanging="700"/>
      </w:pPr>
      <w:r>
        <w:t xml:space="preserve">The Contractor will be required to provide a detailed build up to </w:t>
      </w:r>
      <w:proofErr w:type="gramStart"/>
      <w:r>
        <w:t>all of</w:t>
      </w:r>
      <w:proofErr w:type="gramEnd"/>
      <w:r>
        <w:t xml:space="preserve"> the activities in the activity schedule for Stage Two using the “activity schedule – detail” in the Pricing Information. This information is carried forward to and summarised in the sheet activity schedule – summary”.  </w:t>
      </w:r>
    </w:p>
    <w:p w14:paraId="33DD58C0" w14:textId="77777777" w:rsidR="00235EE7" w:rsidRPr="00F73F08" w:rsidRDefault="00235EE7" w:rsidP="00F73F08">
      <w:pPr>
        <w:pStyle w:val="Heading2"/>
        <w:keepNext/>
        <w:ind w:left="0" w:firstLine="0"/>
        <w:rPr>
          <w:rStyle w:val="TitleText"/>
        </w:rPr>
      </w:pPr>
      <w:r w:rsidRPr="00F73F08">
        <w:rPr>
          <w:rStyle w:val="TitleText"/>
        </w:rPr>
        <w:t xml:space="preserve">Treatment of Discrepancies </w:t>
      </w:r>
    </w:p>
    <w:p w14:paraId="4DA28D8C" w14:textId="77777777" w:rsidR="00235EE7" w:rsidRPr="00F73F08" w:rsidRDefault="00235EE7" w:rsidP="00F73F08">
      <w:pPr>
        <w:pStyle w:val="Heading3"/>
        <w:ind w:left="700" w:hanging="700"/>
      </w:pPr>
      <w:r w:rsidRPr="00FC352A">
        <w:t>The tenderer is responsible for ensuring that extension, sub-totals and totals are correct</w:t>
      </w:r>
      <w:r>
        <w:t>, arithmetically or otherwise</w:t>
      </w:r>
      <w:r w:rsidRPr="00FC352A">
        <w:t xml:space="preserve">. </w:t>
      </w:r>
      <w:r>
        <w:t>Errors, or d</w:t>
      </w:r>
      <w:r w:rsidRPr="00FC352A">
        <w:t>iscrepancies</w:t>
      </w:r>
      <w:r>
        <w:t>,</w:t>
      </w:r>
      <w:r w:rsidRPr="00FC352A">
        <w:t xml:space="preserve"> identified in the </w:t>
      </w:r>
      <w:r>
        <w:t xml:space="preserve">Pricing Information, Activity </w:t>
      </w:r>
      <w:r w:rsidRPr="00FC352A">
        <w:t xml:space="preserve">Schedule </w:t>
      </w:r>
      <w:r>
        <w:t>or Pricing Scenarios cannot be amended once the Tender has been submitted.</w:t>
      </w:r>
    </w:p>
    <w:p w14:paraId="701D1EDB" w14:textId="77777777" w:rsidR="00235EE7" w:rsidRPr="00F73F08" w:rsidRDefault="00235EE7" w:rsidP="00F73F08">
      <w:pPr>
        <w:pStyle w:val="Heading2"/>
        <w:keepNext/>
        <w:ind w:left="0" w:firstLine="0"/>
        <w:rPr>
          <w:rStyle w:val="TitleText"/>
        </w:rPr>
      </w:pPr>
      <w:r w:rsidRPr="00F73F08">
        <w:rPr>
          <w:rStyle w:val="TitleText"/>
        </w:rPr>
        <w:t>Contract Programme</w:t>
      </w:r>
    </w:p>
    <w:p w14:paraId="2835A016" w14:textId="77777777" w:rsidR="00235EE7" w:rsidRDefault="00235EE7" w:rsidP="00F73F08">
      <w:pPr>
        <w:pStyle w:val="Heading3"/>
        <w:ind w:left="700" w:hanging="700"/>
      </w:pPr>
      <w:r>
        <w:t>The Tenderer shall no</w:t>
      </w:r>
      <w:r w:rsidRPr="00A56DFC">
        <w:t xml:space="preserve">te also the requirement of clause 31.4 of the conditions of contract about the relationship between the activity schedule and the programme. </w:t>
      </w:r>
    </w:p>
    <w:p w14:paraId="0B4C06C1" w14:textId="7A4F9E0E" w:rsidR="003C14E5" w:rsidRDefault="003C14E5">
      <w:pPr>
        <w:spacing w:after="200" w:line="276" w:lineRule="auto"/>
        <w:rPr>
          <w:rFonts w:eastAsia="Times New Roman" w:cs="Times New Roman"/>
          <w:bCs/>
          <w:color w:val="auto"/>
          <w:sz w:val="48"/>
          <w:szCs w:val="28"/>
        </w:rPr>
      </w:pPr>
      <w:r>
        <w:br w:type="page"/>
      </w:r>
    </w:p>
    <w:p w14:paraId="0CB0A1AF" w14:textId="6D167C84" w:rsidR="0035407C" w:rsidRDefault="0035407C" w:rsidP="005642A9">
      <w:pPr>
        <w:pStyle w:val="Heading1"/>
      </w:pPr>
      <w:bookmarkStart w:id="10" w:name="_Toc527988013"/>
      <w:r>
        <w:lastRenderedPageBreak/>
        <w:t>Approvals and Consents</w:t>
      </w:r>
      <w:bookmarkEnd w:id="10"/>
    </w:p>
    <w:p w14:paraId="6F378120" w14:textId="5AC342C6" w:rsidR="0035407C" w:rsidRDefault="008241E4" w:rsidP="0035407C">
      <w:pPr>
        <w:pStyle w:val="Heading2"/>
        <w:numPr>
          <w:ilvl w:val="1"/>
          <w:numId w:val="1"/>
        </w:numPr>
        <w:ind w:left="0" w:firstLine="0"/>
      </w:pPr>
      <w:r>
        <w:t xml:space="preserve">The </w:t>
      </w:r>
      <w:r w:rsidRPr="002510A5">
        <w:rPr>
          <w:i/>
        </w:rPr>
        <w:t>Contractor</w:t>
      </w:r>
      <w:r>
        <w:t xml:space="preserve"> is to obtain all </w:t>
      </w:r>
      <w:r w:rsidR="00BF5487">
        <w:t xml:space="preserve">permits, </w:t>
      </w:r>
      <w:r w:rsidR="002510A5">
        <w:t>statuary approvals and consents for his works.</w:t>
      </w:r>
    </w:p>
    <w:p w14:paraId="5187469E" w14:textId="0FA27050" w:rsidR="00A901D5" w:rsidRDefault="00A901D5" w:rsidP="00C451DD">
      <w:pPr>
        <w:pStyle w:val="Heading2"/>
        <w:numPr>
          <w:ilvl w:val="1"/>
          <w:numId w:val="1"/>
        </w:numPr>
        <w:ind w:left="742" w:hanging="742"/>
      </w:pPr>
      <w:r>
        <w:t xml:space="preserve">The </w:t>
      </w:r>
      <w:r w:rsidR="00440ADA" w:rsidRPr="003F3213">
        <w:rPr>
          <w:i/>
        </w:rPr>
        <w:t>Employer</w:t>
      </w:r>
      <w:r w:rsidR="00440ADA">
        <w:t xml:space="preserve"> is to obtain approvals for the </w:t>
      </w:r>
      <w:r w:rsidR="003F3213" w:rsidRPr="003F3213">
        <w:rPr>
          <w:i/>
        </w:rPr>
        <w:t>Contractor</w:t>
      </w:r>
      <w:r w:rsidR="003F3213">
        <w:t>’s methodologies from the Official Receiver.</w:t>
      </w:r>
    </w:p>
    <w:p w14:paraId="3F619E90" w14:textId="741FD625" w:rsidR="0035407C" w:rsidRDefault="005642A9" w:rsidP="005642A9">
      <w:pPr>
        <w:pStyle w:val="Heading1"/>
      </w:pPr>
      <w:bookmarkStart w:id="11" w:name="_Toc527988014"/>
      <w:r>
        <w:t>Project Management Strategy</w:t>
      </w:r>
      <w:bookmarkEnd w:id="11"/>
    </w:p>
    <w:p w14:paraId="781B1F1F" w14:textId="1CC93230" w:rsidR="005642A9" w:rsidRDefault="005642A9" w:rsidP="005642A9">
      <w:pPr>
        <w:pStyle w:val="Heading2"/>
      </w:pPr>
      <w:r>
        <w:t xml:space="preserve"> </w:t>
      </w:r>
      <w:r w:rsidR="00FA4EEF">
        <w:t xml:space="preserve">The </w:t>
      </w:r>
      <w:r w:rsidR="00FA4EEF" w:rsidRPr="00FA4EEF">
        <w:rPr>
          <w:i/>
        </w:rPr>
        <w:t>Contractor</w:t>
      </w:r>
      <w:r w:rsidR="00FA4EEF">
        <w:t xml:space="preserve"> is to follow the Project Management Strategy </w:t>
      </w:r>
      <w:r w:rsidR="009B65B6">
        <w:t xml:space="preserve">in </w:t>
      </w:r>
      <w:r w:rsidR="00B26057">
        <w:fldChar w:fldCharType="begin"/>
      </w:r>
      <w:r w:rsidR="00B26057">
        <w:instrText xml:space="preserve"> REF _Ref525297095 \r \h </w:instrText>
      </w:r>
      <w:r w:rsidR="00B26057">
        <w:fldChar w:fldCharType="separate"/>
      </w:r>
      <w:r w:rsidR="00B26057">
        <w:t>Appendix 5</w:t>
      </w:r>
      <w:r w:rsidR="00B26057">
        <w:fldChar w:fldCharType="end"/>
      </w:r>
      <w:r w:rsidR="009B65B6">
        <w:t>.</w:t>
      </w:r>
    </w:p>
    <w:p w14:paraId="01FF5D70" w14:textId="5F844CB5" w:rsidR="005642A9" w:rsidRDefault="005642A9" w:rsidP="005642A9">
      <w:pPr>
        <w:pStyle w:val="Heading1"/>
      </w:pPr>
      <w:bookmarkStart w:id="12" w:name="_Toc527988015"/>
      <w:r>
        <w:t>Compliance with STSC Procedures</w:t>
      </w:r>
      <w:bookmarkEnd w:id="12"/>
    </w:p>
    <w:p w14:paraId="717FA420" w14:textId="312223A4" w:rsidR="005642A9" w:rsidRDefault="005642A9" w:rsidP="005642A9">
      <w:pPr>
        <w:pStyle w:val="Heading2"/>
      </w:pPr>
      <w:r>
        <w:t xml:space="preserve"> </w:t>
      </w:r>
      <w:r w:rsidR="009B65B6">
        <w:t xml:space="preserve">The </w:t>
      </w:r>
      <w:r w:rsidR="009B65B6" w:rsidRPr="009B65B6">
        <w:rPr>
          <w:i/>
        </w:rPr>
        <w:t>Contractor</w:t>
      </w:r>
      <w:r w:rsidR="009B65B6">
        <w:t xml:space="preserve"> is to comply with all </w:t>
      </w:r>
      <w:r w:rsidR="008F4258">
        <w:t xml:space="preserve">STSC Procedures as detailed in </w:t>
      </w:r>
      <w:r w:rsidR="00B26057">
        <w:fldChar w:fldCharType="begin"/>
      </w:r>
      <w:r w:rsidR="00B26057">
        <w:instrText xml:space="preserve"> REF _Ref525297103 \r \h </w:instrText>
      </w:r>
      <w:r w:rsidR="00B26057">
        <w:fldChar w:fldCharType="separate"/>
      </w:r>
      <w:r w:rsidR="00B26057">
        <w:t>Appendix 6</w:t>
      </w:r>
      <w:r w:rsidR="00B26057">
        <w:fldChar w:fldCharType="end"/>
      </w:r>
      <w:r w:rsidR="008F4258">
        <w:t>.</w:t>
      </w:r>
    </w:p>
    <w:p w14:paraId="05BE20D3" w14:textId="6A093A24" w:rsidR="005D3889" w:rsidRDefault="005D3889" w:rsidP="00C451DD">
      <w:pPr>
        <w:pStyle w:val="Heading2"/>
        <w:ind w:left="784" w:hanging="784"/>
      </w:pPr>
      <w:r>
        <w:t xml:space="preserve">Where the </w:t>
      </w:r>
      <w:r w:rsidR="001B6A0C" w:rsidRPr="009B65B6">
        <w:rPr>
          <w:i/>
        </w:rPr>
        <w:t>Contractor</w:t>
      </w:r>
      <w:r w:rsidR="001B6A0C">
        <w:t>’s methodology requires a departure from the STSC Procedures</w:t>
      </w:r>
      <w:r w:rsidR="0025252E">
        <w:t xml:space="preserve"> the </w:t>
      </w:r>
      <w:r w:rsidR="0025252E" w:rsidRPr="0025252E">
        <w:rPr>
          <w:i/>
        </w:rPr>
        <w:t>Contractor</w:t>
      </w:r>
      <w:r w:rsidR="0025252E">
        <w:t xml:space="preserve"> is to apply for that departure in accordance with the STSC Procedures and obtain </w:t>
      </w:r>
      <w:r w:rsidR="00A71CEA">
        <w:t>the relevant approvals prior to issuing the methodology</w:t>
      </w:r>
      <w:r w:rsidR="00C451DD">
        <w:t xml:space="preserve"> to</w:t>
      </w:r>
      <w:r w:rsidR="00A71CEA">
        <w:t xml:space="preserve"> the </w:t>
      </w:r>
      <w:r w:rsidR="00A71CEA" w:rsidRPr="00EF1258">
        <w:rPr>
          <w:i/>
        </w:rPr>
        <w:t>Project Manager</w:t>
      </w:r>
      <w:r w:rsidR="00A71CEA">
        <w:t xml:space="preserve"> for acceptance under Clause</w:t>
      </w:r>
      <w:r w:rsidR="00EF1258">
        <w:t> </w:t>
      </w:r>
      <w:r w:rsidR="00A71CEA">
        <w:t>21.</w:t>
      </w:r>
    </w:p>
    <w:p w14:paraId="26A6AEE8" w14:textId="7DB1763E" w:rsidR="005642A9" w:rsidRDefault="001606F4" w:rsidP="005642A9">
      <w:pPr>
        <w:pStyle w:val="Heading1"/>
      </w:pPr>
      <w:bookmarkStart w:id="13" w:name="_Toc527988016"/>
      <w:r>
        <w:t>P</w:t>
      </w:r>
      <w:r w:rsidR="00586A71">
        <w:t>erformance Bond</w:t>
      </w:r>
      <w:bookmarkEnd w:id="13"/>
    </w:p>
    <w:p w14:paraId="0ECC965C" w14:textId="3D5A06AE" w:rsidR="00350437" w:rsidRDefault="001606F4" w:rsidP="00C451DD">
      <w:pPr>
        <w:pStyle w:val="Heading2"/>
        <w:ind w:left="728" w:hanging="728"/>
      </w:pPr>
      <w:r>
        <w:t xml:space="preserve">The </w:t>
      </w:r>
      <w:r w:rsidR="00586A71">
        <w:t xml:space="preserve">Contractor is to provide a Performance Bond </w:t>
      </w:r>
      <w:r w:rsidR="00160EF8">
        <w:t xml:space="preserve">in the sum set out in the Contract Data and </w:t>
      </w:r>
      <w:r w:rsidR="00586A71">
        <w:t xml:space="preserve">in </w:t>
      </w:r>
      <w:r w:rsidR="00160EF8">
        <w:t>the form set out in Appendix 7.</w:t>
      </w:r>
    </w:p>
    <w:p w14:paraId="757BA7CF" w14:textId="4CF440E9" w:rsidR="00C451DD" w:rsidRDefault="00C451DD" w:rsidP="00C451DD">
      <w:pPr>
        <w:pStyle w:val="Heading1"/>
      </w:pPr>
      <w:bookmarkStart w:id="14" w:name="_Toc527988017"/>
      <w:r>
        <w:t>Further Information for Contractors</w:t>
      </w:r>
      <w:bookmarkEnd w:id="14"/>
    </w:p>
    <w:p w14:paraId="59B10097" w14:textId="77777777" w:rsidR="00350437" w:rsidRDefault="00350437" w:rsidP="00C451DD">
      <w:pPr>
        <w:pStyle w:val="Heading2"/>
        <w:ind w:left="728" w:hanging="728"/>
      </w:pPr>
      <w:r w:rsidRPr="006E368F">
        <w:rPr>
          <w:rStyle w:val="TitleText"/>
        </w:rPr>
        <w:t>Grangetown Training and Employment Hub</w:t>
      </w:r>
      <w:r>
        <w:t xml:space="preserve">.  Redcar and Cleveland Grangetown Training and Employment Hub model is delivered through a partnership of Jobcentre Plus, Redcar and Cleveland Borough Council, Coast and Country Housing, Work Programme providers, training providers and individual projects such as the Youth Engagement Initiative and the Tees Valley Routes to Work Project.  Many employers involved in local activity engage with the centre as it helps them deliver any commitments or agreed targets they </w:t>
      </w:r>
      <w:proofErr w:type="gramStart"/>
      <w:r>
        <w:t>have to</w:t>
      </w:r>
      <w:proofErr w:type="gramEnd"/>
      <w:r>
        <w:t xml:space="preserve"> employ local labour as well as supporting them to fill vacancies with appropriately skilled workers.  Further information can be found at: </w:t>
      </w:r>
      <w:hyperlink r:id="rId14" w:history="1">
        <w:r w:rsidRPr="00695AEB">
          <w:rPr>
            <w:rStyle w:val="Hyperlink"/>
          </w:rPr>
          <w:t>https://www.facebook.com/.../Grangetown-Training-and-Employment-Hub-175384974</w:t>
        </w:r>
      </w:hyperlink>
      <w:r>
        <w:t xml:space="preserve"> </w:t>
      </w:r>
    </w:p>
    <w:p w14:paraId="76709165" w14:textId="77777777" w:rsidR="00350437" w:rsidRDefault="00350437" w:rsidP="00C451DD">
      <w:pPr>
        <w:pStyle w:val="Heading2"/>
        <w:ind w:left="728" w:hanging="728"/>
      </w:pPr>
      <w:r w:rsidRPr="002A6A3B">
        <w:rPr>
          <w:rStyle w:val="TitleText"/>
        </w:rPr>
        <w:t>Inspiring Our Future</w:t>
      </w:r>
      <w:r>
        <w:t xml:space="preserve">.  The Tees Valley Combined Authority (TVCA) strategy “Inspiring Our Future”, outlines the key issues and priorities within Education, Employment and Skills. It will look to raise skills levels to help attract new businesses to the area and provide support to local people to access these jobs.  Further information can be found at: </w:t>
      </w:r>
      <w:hyperlink r:id="rId15" w:history="1">
        <w:r w:rsidRPr="00695AEB">
          <w:rPr>
            <w:rStyle w:val="Hyperlink"/>
          </w:rPr>
          <w:t>https://teesvalley-ca.gov.uk/inspiring-future-ambitious-vision-launched-transform-education-employment-skills/</w:t>
        </w:r>
      </w:hyperlink>
      <w:r>
        <w:t xml:space="preserve"> </w:t>
      </w:r>
    </w:p>
    <w:p w14:paraId="231CE773" w14:textId="77777777" w:rsidR="003C14E5" w:rsidRDefault="003C14E5">
      <w:pPr>
        <w:spacing w:after="200" w:line="276" w:lineRule="auto"/>
        <w:rPr>
          <w:rFonts w:eastAsia="Times New Roman" w:cs="Times New Roman"/>
          <w:bCs/>
          <w:color w:val="auto"/>
          <w:sz w:val="48"/>
          <w:szCs w:val="28"/>
        </w:rPr>
      </w:pPr>
      <w:r>
        <w:br w:type="page"/>
      </w:r>
    </w:p>
    <w:p w14:paraId="148171A0" w14:textId="440FDDE0" w:rsidR="007B3349" w:rsidRDefault="007B3349" w:rsidP="007B3349">
      <w:pPr>
        <w:pStyle w:val="Heading1"/>
        <w:numPr>
          <w:ilvl w:val="0"/>
          <w:numId w:val="0"/>
        </w:numPr>
        <w:ind w:left="709" w:hanging="709"/>
      </w:pPr>
      <w:bookmarkStart w:id="15" w:name="_Toc527988018"/>
      <w:r>
        <w:lastRenderedPageBreak/>
        <w:t>Appendices</w:t>
      </w:r>
      <w:bookmarkEnd w:id="15"/>
    </w:p>
    <w:p w14:paraId="5E44CA93" w14:textId="464EA20C" w:rsidR="007B3349" w:rsidRDefault="007B3349" w:rsidP="00BF1FEB">
      <w:pPr>
        <w:pStyle w:val="Appendix"/>
      </w:pPr>
      <w:bookmarkStart w:id="16" w:name="_Ref525297004"/>
      <w:bookmarkStart w:id="17" w:name="_Toc527988019"/>
      <w:r>
        <w:t>South Bank Coke Ovens</w:t>
      </w:r>
      <w:bookmarkEnd w:id="16"/>
      <w:bookmarkEnd w:id="17"/>
    </w:p>
    <w:p w14:paraId="7E9EA587" w14:textId="51AB7FD3" w:rsidR="007B3349" w:rsidRDefault="007B3349" w:rsidP="00BF1FEB">
      <w:pPr>
        <w:pStyle w:val="Appendix"/>
      </w:pPr>
      <w:bookmarkStart w:id="18" w:name="_Ref525297020"/>
      <w:bookmarkStart w:id="19" w:name="_Toc527988020"/>
      <w:r>
        <w:t>Coke Ovens Gas Main</w:t>
      </w:r>
      <w:bookmarkEnd w:id="18"/>
      <w:bookmarkEnd w:id="19"/>
    </w:p>
    <w:p w14:paraId="27412188" w14:textId="3B5396D9" w:rsidR="007B3349" w:rsidRDefault="007B3349" w:rsidP="00BF1FEB">
      <w:pPr>
        <w:pStyle w:val="Appendix"/>
      </w:pPr>
      <w:bookmarkStart w:id="20" w:name="_Ref525297025"/>
      <w:bookmarkStart w:id="21" w:name="_Toc527988021"/>
      <w:r>
        <w:t>Heavy Fuel Oil</w:t>
      </w:r>
      <w:bookmarkEnd w:id="20"/>
      <w:bookmarkEnd w:id="21"/>
    </w:p>
    <w:p w14:paraId="08B0310E" w14:textId="1260FD37" w:rsidR="007B3349" w:rsidRDefault="007B3349" w:rsidP="00BF1FEB">
      <w:pPr>
        <w:pStyle w:val="Appendix"/>
      </w:pPr>
      <w:bookmarkStart w:id="22" w:name="_Ref525297031"/>
      <w:bookmarkStart w:id="23" w:name="_Toc527988022"/>
      <w:r>
        <w:t>Redcar Coke Ovens</w:t>
      </w:r>
      <w:bookmarkEnd w:id="22"/>
      <w:bookmarkEnd w:id="23"/>
    </w:p>
    <w:p w14:paraId="2DDEEFBD" w14:textId="683C9AE0" w:rsidR="008F4258" w:rsidRDefault="008F4258" w:rsidP="00BF1FEB">
      <w:pPr>
        <w:pStyle w:val="Appendix"/>
      </w:pPr>
      <w:bookmarkStart w:id="24" w:name="_Ref525297095"/>
      <w:bookmarkStart w:id="25" w:name="_Toc527988023"/>
      <w:r>
        <w:t>Project Management Strategy</w:t>
      </w:r>
      <w:bookmarkEnd w:id="24"/>
      <w:bookmarkEnd w:id="25"/>
    </w:p>
    <w:p w14:paraId="780E7FFA" w14:textId="429D3F20" w:rsidR="008F4258" w:rsidRDefault="008F4258" w:rsidP="00BF1FEB">
      <w:pPr>
        <w:pStyle w:val="Appendix"/>
      </w:pPr>
      <w:bookmarkStart w:id="26" w:name="_Ref525296963"/>
      <w:bookmarkStart w:id="27" w:name="_Ref525297103"/>
      <w:bookmarkStart w:id="28" w:name="_Ref525297793"/>
      <w:bookmarkStart w:id="29" w:name="_Ref525297820"/>
      <w:bookmarkStart w:id="30" w:name="_Toc527988024"/>
      <w:r>
        <w:t>Compliance with STSC Procedures</w:t>
      </w:r>
      <w:bookmarkEnd w:id="26"/>
      <w:bookmarkEnd w:id="27"/>
      <w:bookmarkEnd w:id="28"/>
      <w:bookmarkEnd w:id="29"/>
      <w:bookmarkEnd w:id="30"/>
    </w:p>
    <w:p w14:paraId="258B8DDC" w14:textId="0710B9B3" w:rsidR="00916E46" w:rsidRDefault="00AC5F0B" w:rsidP="00BF1FEB">
      <w:pPr>
        <w:pStyle w:val="Appendix"/>
      </w:pPr>
      <w:bookmarkStart w:id="31" w:name="_Toc527988025"/>
      <w:r>
        <w:t>Performance Bond</w:t>
      </w:r>
      <w:bookmarkEnd w:id="31"/>
    </w:p>
    <w:sectPr w:rsidR="00916E46">
      <w:headerReference w:type="even" r:id="rId16"/>
      <w:headerReference w:type="default" r:id="rId17"/>
      <w:footerReference w:type="default" r:id="rId18"/>
      <w:head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DE815" w14:textId="77777777" w:rsidR="003A7FD8" w:rsidRDefault="003A7FD8">
      <w:r>
        <w:separator/>
      </w:r>
    </w:p>
  </w:endnote>
  <w:endnote w:type="continuationSeparator" w:id="0">
    <w:p w14:paraId="7A750FAD" w14:textId="77777777" w:rsidR="003A7FD8" w:rsidRDefault="003A7FD8">
      <w:r>
        <w:continuationSeparator/>
      </w:r>
    </w:p>
  </w:endnote>
  <w:endnote w:type="continuationNotice" w:id="1">
    <w:p w14:paraId="7F90E4BE" w14:textId="77777777" w:rsidR="003A7FD8" w:rsidRDefault="003A7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Franklin Gothic Book">
    <w:altName w:val="Corbel"/>
    <w:panose1 w:val="020B05030201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686ED" w14:textId="4CB55176" w:rsidR="00103796" w:rsidRDefault="00103796">
    <w:pPr>
      <w:jc w:val="center"/>
      <w:rPr>
        <w:rFonts w:eastAsiaTheme="minorEastAsia"/>
        <w:i/>
        <w:noProof/>
        <w:color w:val="auto"/>
        <w:sz w:val="16"/>
        <w:szCs w:val="16"/>
        <w:lang w:eastAsia="en-GB"/>
      </w:rPr>
    </w:pPr>
    <w:r w:rsidRPr="00B42B98">
      <w:rPr>
        <w:rFonts w:eastAsiaTheme="minorEastAsia"/>
        <w:i/>
        <w:noProof/>
        <w:color w:val="auto"/>
        <w:sz w:val="16"/>
        <w:szCs w:val="16"/>
        <w:lang w:eastAsia="en-GB"/>
      </w:rPr>
      <w:t>South Tees Site Company (STSC) Limited. No. 10424065. Registered in England. 1, Victoria Street, London SW1H 0ET</w:t>
    </w:r>
    <w:r>
      <w:rPr>
        <w:rFonts w:eastAsiaTheme="minorEastAsia"/>
        <w:i/>
        <w:noProof/>
        <w:color w:val="auto"/>
        <w:sz w:val="16"/>
        <w:szCs w:val="16"/>
        <w:lang w:eastAsia="en-GB"/>
      </w:rPr>
      <w:t xml:space="preserve"> </w:t>
    </w:r>
  </w:p>
  <w:p w14:paraId="2579A73F" w14:textId="334D03CF" w:rsidR="00103796" w:rsidRDefault="00103796">
    <w:pPr>
      <w:jc w:val="center"/>
      <w:rPr>
        <w:rFonts w:eastAsiaTheme="minorEastAsia"/>
        <w:i/>
        <w:noProof/>
        <w:sz w:val="16"/>
        <w:szCs w:val="16"/>
        <w:lang w:eastAsia="en-GB"/>
      </w:rPr>
    </w:pPr>
  </w:p>
  <w:p w14:paraId="5CB3135A" w14:textId="61E5C4FE" w:rsidR="00103796" w:rsidRPr="00904BA6" w:rsidRDefault="00103796" w:rsidP="00904BA6">
    <w:pPr>
      <w:pStyle w:val="Footer"/>
      <w:jc w:val="center"/>
      <w:rPr>
        <w:color w:val="auto"/>
      </w:rPr>
    </w:pPr>
    <w:r w:rsidRPr="00904BA6">
      <w:rPr>
        <w:color w:val="auto"/>
      </w:rPr>
      <w:fldChar w:fldCharType="begin"/>
    </w:r>
    <w:r w:rsidRPr="00904BA6">
      <w:rPr>
        <w:color w:val="auto"/>
      </w:rPr>
      <w:instrText xml:space="preserve"> PAGE   \* MERGEFORMAT </w:instrText>
    </w:r>
    <w:r w:rsidRPr="00904BA6">
      <w:rPr>
        <w:color w:val="auto"/>
      </w:rPr>
      <w:fldChar w:fldCharType="separate"/>
    </w:r>
    <w:r w:rsidRPr="00904BA6">
      <w:rPr>
        <w:noProof/>
        <w:color w:val="auto"/>
      </w:rPr>
      <w:t>1</w:t>
    </w:r>
    <w:r w:rsidRPr="00904BA6">
      <w:rPr>
        <w:noProof/>
        <w:color w:val="auto"/>
      </w:rPr>
      <w:fldChar w:fldCharType="end"/>
    </w:r>
  </w:p>
  <w:p w14:paraId="5CFA5B34" w14:textId="77777777" w:rsidR="00103796" w:rsidRDefault="001037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B8E0F" w14:textId="77777777" w:rsidR="003A7FD8" w:rsidRDefault="003A7FD8">
      <w:r>
        <w:separator/>
      </w:r>
    </w:p>
  </w:footnote>
  <w:footnote w:type="continuationSeparator" w:id="0">
    <w:p w14:paraId="7F77AA1C" w14:textId="77777777" w:rsidR="003A7FD8" w:rsidRDefault="003A7FD8">
      <w:r>
        <w:continuationSeparator/>
      </w:r>
    </w:p>
  </w:footnote>
  <w:footnote w:type="continuationNotice" w:id="1">
    <w:p w14:paraId="3F48AF20" w14:textId="77777777" w:rsidR="003A7FD8" w:rsidRDefault="003A7F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A9C69" w14:textId="6F13A01B" w:rsidR="00103796" w:rsidRDefault="001037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46537" w14:textId="5EF2275D" w:rsidR="00103796" w:rsidRDefault="001037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DB6E8" w14:textId="59FD8CE9" w:rsidR="00103796" w:rsidRDefault="001037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17FA1C3A"/>
    <w:lvl w:ilvl="0">
      <w:start w:val="1"/>
      <w:numFmt w:val="lowerRoman"/>
      <w:pStyle w:val="ListNumber3"/>
      <w:lvlText w:val="%1."/>
      <w:lvlJc w:val="left"/>
      <w:pPr>
        <w:ind w:left="926" w:hanging="360"/>
      </w:pPr>
      <w:rPr>
        <w:rFonts w:hint="default"/>
        <w:color w:val="1F497D" w:themeColor="text2"/>
      </w:rPr>
    </w:lvl>
  </w:abstractNum>
  <w:abstractNum w:abstractNumId="1" w15:restartNumberingAfterBreak="0">
    <w:nsid w:val="FFFFFF88"/>
    <w:multiLevelType w:val="singleLevel"/>
    <w:tmpl w:val="38D21852"/>
    <w:lvl w:ilvl="0">
      <w:start w:val="1"/>
      <w:numFmt w:val="decimal"/>
      <w:pStyle w:val="ListNumber"/>
      <w:lvlText w:val="%1."/>
      <w:lvlJc w:val="left"/>
      <w:pPr>
        <w:tabs>
          <w:tab w:val="num" w:pos="360"/>
        </w:tabs>
        <w:ind w:left="360" w:hanging="360"/>
      </w:pPr>
    </w:lvl>
  </w:abstractNum>
  <w:abstractNum w:abstractNumId="2" w15:restartNumberingAfterBreak="0">
    <w:nsid w:val="005313A8"/>
    <w:multiLevelType w:val="hybridMultilevel"/>
    <w:tmpl w:val="B3C059D2"/>
    <w:lvl w:ilvl="0" w:tplc="25D85A06">
      <w:start w:val="1"/>
      <w:numFmt w:val="decimal"/>
      <w:pStyle w:val="Appendix"/>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B1606B"/>
    <w:multiLevelType w:val="hybridMultilevel"/>
    <w:tmpl w:val="5B7E4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2B36CD"/>
    <w:multiLevelType w:val="multilevel"/>
    <w:tmpl w:val="DD443972"/>
    <w:lvl w:ilvl="0">
      <w:start w:val="1"/>
      <w:numFmt w:val="decimal"/>
      <w:lvlText w:val="%1."/>
      <w:lvlJc w:val="left"/>
      <w:pPr>
        <w:ind w:left="0" w:firstLine="0"/>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Letter"/>
      <w:lvlText w:val="%4)"/>
      <w:lvlJc w:val="left"/>
      <w:pPr>
        <w:ind w:left="2127" w:firstLine="0"/>
      </w:pPr>
      <w:rPr>
        <w:rFonts w:hint="default"/>
      </w:rPr>
    </w:lvl>
    <w:lvl w:ilvl="4">
      <w:start w:val="1"/>
      <w:numFmt w:val="decimal"/>
      <w:lvlText w:val="(%5)"/>
      <w:lvlJc w:val="left"/>
      <w:pPr>
        <w:ind w:left="2836" w:firstLine="0"/>
      </w:pPr>
      <w:rPr>
        <w:rFonts w:hint="default"/>
      </w:rPr>
    </w:lvl>
    <w:lvl w:ilvl="5">
      <w:start w:val="1"/>
      <w:numFmt w:val="lowerLetter"/>
      <w:lvlText w:val="(%6)"/>
      <w:lvlJc w:val="left"/>
      <w:pPr>
        <w:ind w:left="3545" w:firstLine="0"/>
      </w:pPr>
      <w:rPr>
        <w:rFonts w:hint="default"/>
      </w:rPr>
    </w:lvl>
    <w:lvl w:ilvl="6">
      <w:start w:val="1"/>
      <w:numFmt w:val="lowerRoman"/>
      <w:lvlText w:val="(%7)"/>
      <w:lvlJc w:val="left"/>
      <w:pPr>
        <w:ind w:left="4254" w:firstLine="0"/>
      </w:pPr>
      <w:rPr>
        <w:rFonts w:hint="default"/>
      </w:rPr>
    </w:lvl>
    <w:lvl w:ilvl="7">
      <w:start w:val="1"/>
      <w:numFmt w:val="lowerLetter"/>
      <w:lvlText w:val="(%8)"/>
      <w:lvlJc w:val="left"/>
      <w:pPr>
        <w:ind w:left="4963" w:firstLine="0"/>
      </w:pPr>
      <w:rPr>
        <w:rFonts w:hint="default"/>
      </w:rPr>
    </w:lvl>
    <w:lvl w:ilvl="8">
      <w:start w:val="1"/>
      <w:numFmt w:val="lowerRoman"/>
      <w:pStyle w:val="Heading9"/>
      <w:lvlText w:val="(%9)"/>
      <w:lvlJc w:val="left"/>
      <w:pPr>
        <w:ind w:left="5672" w:firstLine="0"/>
      </w:pPr>
      <w:rPr>
        <w:rFonts w:hint="default"/>
      </w:rPr>
    </w:lvl>
  </w:abstractNum>
  <w:abstractNum w:abstractNumId="5" w15:restartNumberingAfterBreak="0">
    <w:nsid w:val="3E4D568F"/>
    <w:multiLevelType w:val="multilevel"/>
    <w:tmpl w:val="40B60020"/>
    <w:lvl w:ilvl="0">
      <w:start w:val="1"/>
      <w:numFmt w:val="decimal"/>
      <w:pStyle w:val="Heading1"/>
      <w:lvlText w:val="%1."/>
      <w:lvlJc w:val="left"/>
      <w:pPr>
        <w:ind w:left="709" w:hanging="709"/>
      </w:pPr>
      <w:rPr>
        <w:rFonts w:hint="default"/>
      </w:rPr>
    </w:lvl>
    <w:lvl w:ilvl="1">
      <w:start w:val="1"/>
      <w:numFmt w:val="decimal"/>
      <w:pStyle w:val="Heading2"/>
      <w:lvlText w:val="%1.%2."/>
      <w:lvlJc w:val="left"/>
      <w:pPr>
        <w:ind w:left="709" w:hanging="709"/>
      </w:pPr>
      <w:rPr>
        <w:rFonts w:hint="default"/>
        <w:b w:val="0"/>
      </w:rPr>
    </w:lvl>
    <w:lvl w:ilvl="2">
      <w:start w:val="1"/>
      <w:numFmt w:val="decimal"/>
      <w:pStyle w:val="Heading3"/>
      <w:lvlText w:val="%1.%2.%3."/>
      <w:lvlJc w:val="left"/>
      <w:pPr>
        <w:ind w:left="709" w:hanging="709"/>
      </w:pPr>
      <w:rPr>
        <w:rFonts w:hint="default"/>
        <w:b w:val="0"/>
      </w:rPr>
    </w:lvl>
    <w:lvl w:ilvl="3">
      <w:start w:val="1"/>
      <w:numFmt w:val="decimal"/>
      <w:pStyle w:val="Heading4"/>
      <w:lvlText w:val="%1.%2.%3.%4."/>
      <w:lvlJc w:val="left"/>
      <w:pPr>
        <w:tabs>
          <w:tab w:val="num" w:pos="5103"/>
        </w:tabs>
        <w:ind w:left="709" w:hanging="709"/>
      </w:pPr>
      <w:rPr>
        <w:rFonts w:hint="default"/>
      </w:rPr>
    </w:lvl>
    <w:lvl w:ilvl="4">
      <w:start w:val="1"/>
      <w:numFmt w:val="decimal"/>
      <w:pStyle w:val="Heading5"/>
      <w:lvlText w:val="%1.%2.%3.%4.%5."/>
      <w:lvlJc w:val="left"/>
      <w:pPr>
        <w:ind w:left="709" w:hanging="709"/>
      </w:pPr>
      <w:rPr>
        <w:rFonts w:hint="default"/>
      </w:rPr>
    </w:lvl>
    <w:lvl w:ilvl="5">
      <w:start w:val="1"/>
      <w:numFmt w:val="upperLetter"/>
      <w:pStyle w:val="Heading6"/>
      <w:lvlText w:val="Appendix %6."/>
      <w:lvlJc w:val="left"/>
      <w:pPr>
        <w:ind w:left="709" w:hanging="709"/>
      </w:pPr>
      <w:rPr>
        <w:rFonts w:hint="default"/>
      </w:rPr>
    </w:lvl>
    <w:lvl w:ilvl="6">
      <w:start w:val="1"/>
      <w:numFmt w:val="decimal"/>
      <w:pStyle w:val="Heading7"/>
      <w:lvlText w:val="%6.%7."/>
      <w:lvlJc w:val="left"/>
      <w:pPr>
        <w:ind w:left="709" w:hanging="709"/>
      </w:pPr>
      <w:rPr>
        <w:rFonts w:hint="default"/>
      </w:rPr>
    </w:lvl>
    <w:lvl w:ilvl="7">
      <w:start w:val="1"/>
      <w:numFmt w:val="decimal"/>
      <w:pStyle w:val="Heading8"/>
      <w:lvlText w:val="%6.%7.%8."/>
      <w:lvlJc w:val="left"/>
      <w:pPr>
        <w:ind w:left="709" w:hanging="709"/>
      </w:pPr>
      <w:rPr>
        <w:rFonts w:hint="default"/>
      </w:rPr>
    </w:lvl>
    <w:lvl w:ilvl="8">
      <w:start w:val="1"/>
      <w:numFmt w:val="decimal"/>
      <w:lvlText w:val="%6.%7.%8.%9."/>
      <w:lvlJc w:val="left"/>
      <w:pPr>
        <w:ind w:left="709" w:hanging="709"/>
      </w:pPr>
      <w:rPr>
        <w:rFonts w:hint="default"/>
      </w:rPr>
    </w:lvl>
  </w:abstractNum>
  <w:abstractNum w:abstractNumId="6" w15:restartNumberingAfterBreak="0">
    <w:nsid w:val="690E123E"/>
    <w:multiLevelType w:val="multilevel"/>
    <w:tmpl w:val="C6C2859A"/>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b w:val="0"/>
      </w:rPr>
    </w:lvl>
    <w:lvl w:ilvl="2">
      <w:start w:val="1"/>
      <w:numFmt w:val="decimal"/>
      <w:lvlText w:val="%1.%2.%3."/>
      <w:lvlJc w:val="left"/>
      <w:pPr>
        <w:ind w:left="709" w:hanging="709"/>
      </w:pPr>
      <w:rPr>
        <w:rFonts w:hint="default"/>
        <w:b w:val="0"/>
      </w:rPr>
    </w:lvl>
    <w:lvl w:ilvl="3">
      <w:start w:val="1"/>
      <w:numFmt w:val="decimal"/>
      <w:lvlText w:val="%1.%2.%3.%4."/>
      <w:lvlJc w:val="left"/>
      <w:pPr>
        <w:tabs>
          <w:tab w:val="num" w:pos="5103"/>
        </w:tabs>
        <w:ind w:left="709" w:hanging="709"/>
      </w:pPr>
      <w:rPr>
        <w:rFonts w:hint="default"/>
      </w:rPr>
    </w:lvl>
    <w:lvl w:ilvl="4">
      <w:start w:val="1"/>
      <w:numFmt w:val="decimal"/>
      <w:lvlText w:val="%1.%2.%3.%4.%5."/>
      <w:lvlJc w:val="left"/>
      <w:pPr>
        <w:ind w:left="709" w:hanging="709"/>
      </w:pPr>
      <w:rPr>
        <w:rFonts w:hint="default"/>
      </w:rPr>
    </w:lvl>
    <w:lvl w:ilvl="5">
      <w:start w:val="1"/>
      <w:numFmt w:val="upperLetter"/>
      <w:lvlText w:val="Appendix %6."/>
      <w:lvlJc w:val="left"/>
      <w:pPr>
        <w:ind w:left="709" w:hanging="709"/>
      </w:pPr>
      <w:rPr>
        <w:rFonts w:hint="default"/>
      </w:rPr>
    </w:lvl>
    <w:lvl w:ilvl="6">
      <w:start w:val="1"/>
      <w:numFmt w:val="decimal"/>
      <w:lvlText w:val="%6.%7."/>
      <w:lvlJc w:val="left"/>
      <w:pPr>
        <w:ind w:left="709" w:hanging="709"/>
      </w:pPr>
      <w:rPr>
        <w:rFonts w:hint="default"/>
      </w:rPr>
    </w:lvl>
    <w:lvl w:ilvl="7">
      <w:start w:val="1"/>
      <w:numFmt w:val="decimal"/>
      <w:lvlText w:val="%6.%7.%8."/>
      <w:lvlJc w:val="left"/>
      <w:pPr>
        <w:ind w:left="709" w:hanging="709"/>
      </w:pPr>
      <w:rPr>
        <w:rFonts w:hint="default"/>
      </w:rPr>
    </w:lvl>
    <w:lvl w:ilvl="8">
      <w:start w:val="1"/>
      <w:numFmt w:val="decimal"/>
      <w:lvlText w:val="%6.%7.%8.%9."/>
      <w:lvlJc w:val="left"/>
      <w:pPr>
        <w:ind w:left="709" w:hanging="709"/>
      </w:pPr>
      <w:rPr>
        <w:rFonts w:hint="default"/>
      </w:rPr>
    </w:lvl>
  </w:abstractNum>
  <w:abstractNum w:abstractNumId="7" w15:restartNumberingAfterBreak="0">
    <w:nsid w:val="75BE50DD"/>
    <w:multiLevelType w:val="hybridMultilevel"/>
    <w:tmpl w:val="E9E6D472"/>
    <w:lvl w:ilvl="0" w:tplc="F1A853C4">
      <w:start w:val="1"/>
      <w:numFmt w:val="bullet"/>
      <w:pStyle w:val="List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6"/>
  </w:num>
  <w:num w:numId="2">
    <w:abstractNumId w:val="6"/>
  </w:num>
  <w:num w:numId="3">
    <w:abstractNumId w:val="1"/>
  </w:num>
  <w:num w:numId="4">
    <w:abstractNumId w:val="0"/>
  </w:num>
  <w:num w:numId="5">
    <w:abstractNumId w:val="7"/>
  </w:num>
  <w:num w:numId="6">
    <w:abstractNumId w:val="5"/>
  </w:num>
  <w:num w:numId="7">
    <w:abstractNumId w:val="4"/>
  </w:num>
  <w:num w:numId="8">
    <w:abstractNumId w:val="2"/>
  </w:num>
  <w:num w:numId="9">
    <w:abstractNumId w:val="3"/>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BD6"/>
    <w:rsid w:val="000001C1"/>
    <w:rsid w:val="00001EBD"/>
    <w:rsid w:val="00007731"/>
    <w:rsid w:val="0002085C"/>
    <w:rsid w:val="000247B0"/>
    <w:rsid w:val="00031030"/>
    <w:rsid w:val="00034E93"/>
    <w:rsid w:val="00042571"/>
    <w:rsid w:val="00047FAE"/>
    <w:rsid w:val="000502F6"/>
    <w:rsid w:val="0005255E"/>
    <w:rsid w:val="00054693"/>
    <w:rsid w:val="000572AB"/>
    <w:rsid w:val="00062B1D"/>
    <w:rsid w:val="000802B3"/>
    <w:rsid w:val="000809AB"/>
    <w:rsid w:val="00087A04"/>
    <w:rsid w:val="000956DC"/>
    <w:rsid w:val="000979E3"/>
    <w:rsid w:val="000A00A4"/>
    <w:rsid w:val="000A59C9"/>
    <w:rsid w:val="000B3679"/>
    <w:rsid w:val="000C556B"/>
    <w:rsid w:val="000C5D4F"/>
    <w:rsid w:val="000C6C72"/>
    <w:rsid w:val="000C7C58"/>
    <w:rsid w:val="000D33B8"/>
    <w:rsid w:val="000E50C8"/>
    <w:rsid w:val="000F053B"/>
    <w:rsid w:val="000F3347"/>
    <w:rsid w:val="000F7D0B"/>
    <w:rsid w:val="00102062"/>
    <w:rsid w:val="00102780"/>
    <w:rsid w:val="00103796"/>
    <w:rsid w:val="00104DF6"/>
    <w:rsid w:val="00107C29"/>
    <w:rsid w:val="00111BBB"/>
    <w:rsid w:val="0011235D"/>
    <w:rsid w:val="001130F7"/>
    <w:rsid w:val="00114001"/>
    <w:rsid w:val="0011415A"/>
    <w:rsid w:val="00124EFA"/>
    <w:rsid w:val="00136C94"/>
    <w:rsid w:val="00142CD6"/>
    <w:rsid w:val="00150AFE"/>
    <w:rsid w:val="00154E1E"/>
    <w:rsid w:val="001606F4"/>
    <w:rsid w:val="00160EF8"/>
    <w:rsid w:val="001657A6"/>
    <w:rsid w:val="00167DE5"/>
    <w:rsid w:val="00176090"/>
    <w:rsid w:val="00180FCD"/>
    <w:rsid w:val="0018191C"/>
    <w:rsid w:val="001839B0"/>
    <w:rsid w:val="00187420"/>
    <w:rsid w:val="0019282A"/>
    <w:rsid w:val="001B5D92"/>
    <w:rsid w:val="001B6A0C"/>
    <w:rsid w:val="001C0D40"/>
    <w:rsid w:val="001C14D1"/>
    <w:rsid w:val="001C210A"/>
    <w:rsid w:val="001C2869"/>
    <w:rsid w:val="001D084A"/>
    <w:rsid w:val="001E4390"/>
    <w:rsid w:val="001F16A2"/>
    <w:rsid w:val="001F38EE"/>
    <w:rsid w:val="001F613D"/>
    <w:rsid w:val="002154EA"/>
    <w:rsid w:val="00215FB5"/>
    <w:rsid w:val="00217BD6"/>
    <w:rsid w:val="002227CD"/>
    <w:rsid w:val="00235EE7"/>
    <w:rsid w:val="00242174"/>
    <w:rsid w:val="00246A5C"/>
    <w:rsid w:val="002510A5"/>
    <w:rsid w:val="0025252E"/>
    <w:rsid w:val="0025443C"/>
    <w:rsid w:val="00260158"/>
    <w:rsid w:val="002621F2"/>
    <w:rsid w:val="00265486"/>
    <w:rsid w:val="002731DC"/>
    <w:rsid w:val="00280E75"/>
    <w:rsid w:val="00296E90"/>
    <w:rsid w:val="002A0E64"/>
    <w:rsid w:val="002A6A3B"/>
    <w:rsid w:val="002A6CEA"/>
    <w:rsid w:val="002B05BE"/>
    <w:rsid w:val="002B2B2A"/>
    <w:rsid w:val="002B41C9"/>
    <w:rsid w:val="002B437E"/>
    <w:rsid w:val="002B6496"/>
    <w:rsid w:val="002B688E"/>
    <w:rsid w:val="002C4E6B"/>
    <w:rsid w:val="002C6F08"/>
    <w:rsid w:val="002D14C0"/>
    <w:rsid w:val="002D1C46"/>
    <w:rsid w:val="002E36D8"/>
    <w:rsid w:val="002E5153"/>
    <w:rsid w:val="002F1547"/>
    <w:rsid w:val="002F2750"/>
    <w:rsid w:val="002F67BB"/>
    <w:rsid w:val="0030282A"/>
    <w:rsid w:val="00303B86"/>
    <w:rsid w:val="003041FB"/>
    <w:rsid w:val="00310CAD"/>
    <w:rsid w:val="003207E8"/>
    <w:rsid w:val="00320FE0"/>
    <w:rsid w:val="003326C9"/>
    <w:rsid w:val="003336AB"/>
    <w:rsid w:val="00336D9E"/>
    <w:rsid w:val="00337FA6"/>
    <w:rsid w:val="003424DD"/>
    <w:rsid w:val="00344954"/>
    <w:rsid w:val="00350437"/>
    <w:rsid w:val="0035407C"/>
    <w:rsid w:val="00354C33"/>
    <w:rsid w:val="00362066"/>
    <w:rsid w:val="00364211"/>
    <w:rsid w:val="00376753"/>
    <w:rsid w:val="0039541F"/>
    <w:rsid w:val="0039769A"/>
    <w:rsid w:val="003A2866"/>
    <w:rsid w:val="003A7FD8"/>
    <w:rsid w:val="003C14E5"/>
    <w:rsid w:val="003E39B9"/>
    <w:rsid w:val="003F14D4"/>
    <w:rsid w:val="003F2885"/>
    <w:rsid w:val="003F3213"/>
    <w:rsid w:val="003F354F"/>
    <w:rsid w:val="00404766"/>
    <w:rsid w:val="004054C1"/>
    <w:rsid w:val="00412FB8"/>
    <w:rsid w:val="00414F6C"/>
    <w:rsid w:val="004151A7"/>
    <w:rsid w:val="00426CE9"/>
    <w:rsid w:val="00430C9B"/>
    <w:rsid w:val="00433B90"/>
    <w:rsid w:val="004407B6"/>
    <w:rsid w:val="00440ADA"/>
    <w:rsid w:val="0045244F"/>
    <w:rsid w:val="00453ED0"/>
    <w:rsid w:val="00467DF3"/>
    <w:rsid w:val="00473BC6"/>
    <w:rsid w:val="004776FF"/>
    <w:rsid w:val="00492520"/>
    <w:rsid w:val="004B37E1"/>
    <w:rsid w:val="004B391E"/>
    <w:rsid w:val="004B7723"/>
    <w:rsid w:val="004C0C88"/>
    <w:rsid w:val="004C479A"/>
    <w:rsid w:val="004C5742"/>
    <w:rsid w:val="004C5A78"/>
    <w:rsid w:val="004E027B"/>
    <w:rsid w:val="004E2955"/>
    <w:rsid w:val="004E409C"/>
    <w:rsid w:val="004E6B5A"/>
    <w:rsid w:val="004F2B83"/>
    <w:rsid w:val="004F664D"/>
    <w:rsid w:val="00526599"/>
    <w:rsid w:val="00532F0E"/>
    <w:rsid w:val="00546584"/>
    <w:rsid w:val="00546C28"/>
    <w:rsid w:val="0055508A"/>
    <w:rsid w:val="00557649"/>
    <w:rsid w:val="005642A9"/>
    <w:rsid w:val="00567692"/>
    <w:rsid w:val="00577895"/>
    <w:rsid w:val="00586A71"/>
    <w:rsid w:val="00592F4B"/>
    <w:rsid w:val="00595002"/>
    <w:rsid w:val="00597FE1"/>
    <w:rsid w:val="005A141D"/>
    <w:rsid w:val="005B6222"/>
    <w:rsid w:val="005D3143"/>
    <w:rsid w:val="005D3889"/>
    <w:rsid w:val="005D3D16"/>
    <w:rsid w:val="005F18B5"/>
    <w:rsid w:val="00600323"/>
    <w:rsid w:val="0060126E"/>
    <w:rsid w:val="006021C2"/>
    <w:rsid w:val="00603EF7"/>
    <w:rsid w:val="00606616"/>
    <w:rsid w:val="00616208"/>
    <w:rsid w:val="00620943"/>
    <w:rsid w:val="006211A0"/>
    <w:rsid w:val="006254C9"/>
    <w:rsid w:val="00626BC2"/>
    <w:rsid w:val="00627111"/>
    <w:rsid w:val="006304DD"/>
    <w:rsid w:val="00630B0E"/>
    <w:rsid w:val="00633C7B"/>
    <w:rsid w:val="006370FB"/>
    <w:rsid w:val="006506B3"/>
    <w:rsid w:val="00650B8D"/>
    <w:rsid w:val="00656C73"/>
    <w:rsid w:val="00677621"/>
    <w:rsid w:val="00683E2B"/>
    <w:rsid w:val="00685308"/>
    <w:rsid w:val="006A033E"/>
    <w:rsid w:val="006A0FBA"/>
    <w:rsid w:val="006A1541"/>
    <w:rsid w:val="006A389C"/>
    <w:rsid w:val="006A6F4C"/>
    <w:rsid w:val="006B0AFB"/>
    <w:rsid w:val="006B7CBB"/>
    <w:rsid w:val="006C05ED"/>
    <w:rsid w:val="006C13C9"/>
    <w:rsid w:val="006C3132"/>
    <w:rsid w:val="006C7210"/>
    <w:rsid w:val="006D0549"/>
    <w:rsid w:val="006D6C8D"/>
    <w:rsid w:val="006E368F"/>
    <w:rsid w:val="006E6E00"/>
    <w:rsid w:val="0070389D"/>
    <w:rsid w:val="00704DB4"/>
    <w:rsid w:val="007056F0"/>
    <w:rsid w:val="00705B9A"/>
    <w:rsid w:val="0071376E"/>
    <w:rsid w:val="0071488E"/>
    <w:rsid w:val="00714A1A"/>
    <w:rsid w:val="00715F99"/>
    <w:rsid w:val="00716FFE"/>
    <w:rsid w:val="007172D6"/>
    <w:rsid w:val="00721787"/>
    <w:rsid w:val="007242C9"/>
    <w:rsid w:val="0072685A"/>
    <w:rsid w:val="007272C5"/>
    <w:rsid w:val="0073647C"/>
    <w:rsid w:val="0073778F"/>
    <w:rsid w:val="00737EED"/>
    <w:rsid w:val="0075306E"/>
    <w:rsid w:val="00755051"/>
    <w:rsid w:val="0075553F"/>
    <w:rsid w:val="0075728B"/>
    <w:rsid w:val="00763D82"/>
    <w:rsid w:val="00764011"/>
    <w:rsid w:val="00764CF5"/>
    <w:rsid w:val="00766714"/>
    <w:rsid w:val="0077021D"/>
    <w:rsid w:val="0077183A"/>
    <w:rsid w:val="007724BF"/>
    <w:rsid w:val="00781877"/>
    <w:rsid w:val="007974F5"/>
    <w:rsid w:val="007A44D3"/>
    <w:rsid w:val="007A5998"/>
    <w:rsid w:val="007A7F4A"/>
    <w:rsid w:val="007B0242"/>
    <w:rsid w:val="007B3349"/>
    <w:rsid w:val="007B759B"/>
    <w:rsid w:val="007C75F4"/>
    <w:rsid w:val="007D3BFD"/>
    <w:rsid w:val="007E784C"/>
    <w:rsid w:val="007F1D40"/>
    <w:rsid w:val="00800198"/>
    <w:rsid w:val="00805278"/>
    <w:rsid w:val="008072EF"/>
    <w:rsid w:val="008109E8"/>
    <w:rsid w:val="008114E5"/>
    <w:rsid w:val="008241E4"/>
    <w:rsid w:val="008245AC"/>
    <w:rsid w:val="00837744"/>
    <w:rsid w:val="00845933"/>
    <w:rsid w:val="00846C0B"/>
    <w:rsid w:val="00881131"/>
    <w:rsid w:val="008850CF"/>
    <w:rsid w:val="008914F2"/>
    <w:rsid w:val="008A2303"/>
    <w:rsid w:val="008A2418"/>
    <w:rsid w:val="008B0454"/>
    <w:rsid w:val="008B621F"/>
    <w:rsid w:val="008B70EA"/>
    <w:rsid w:val="008C143B"/>
    <w:rsid w:val="008C2C0F"/>
    <w:rsid w:val="008C3816"/>
    <w:rsid w:val="008D1849"/>
    <w:rsid w:val="008D7C56"/>
    <w:rsid w:val="008E448E"/>
    <w:rsid w:val="008F41A5"/>
    <w:rsid w:val="008F4258"/>
    <w:rsid w:val="00900730"/>
    <w:rsid w:val="00904519"/>
    <w:rsid w:val="00904BA6"/>
    <w:rsid w:val="00916E46"/>
    <w:rsid w:val="0093473C"/>
    <w:rsid w:val="009348EC"/>
    <w:rsid w:val="009426B3"/>
    <w:rsid w:val="00943965"/>
    <w:rsid w:val="00947158"/>
    <w:rsid w:val="00950AA4"/>
    <w:rsid w:val="0095204A"/>
    <w:rsid w:val="00955BA1"/>
    <w:rsid w:val="00960DC4"/>
    <w:rsid w:val="00967E6C"/>
    <w:rsid w:val="0097370A"/>
    <w:rsid w:val="0097583D"/>
    <w:rsid w:val="0097624A"/>
    <w:rsid w:val="00982607"/>
    <w:rsid w:val="009868FE"/>
    <w:rsid w:val="00990B38"/>
    <w:rsid w:val="00994881"/>
    <w:rsid w:val="00996A05"/>
    <w:rsid w:val="009A71E2"/>
    <w:rsid w:val="009B1B77"/>
    <w:rsid w:val="009B65B6"/>
    <w:rsid w:val="009C0538"/>
    <w:rsid w:val="009C15AB"/>
    <w:rsid w:val="009C3073"/>
    <w:rsid w:val="009D362C"/>
    <w:rsid w:val="009D3CBA"/>
    <w:rsid w:val="009E09BB"/>
    <w:rsid w:val="009E25A1"/>
    <w:rsid w:val="009E540B"/>
    <w:rsid w:val="009E59FD"/>
    <w:rsid w:val="009F1B48"/>
    <w:rsid w:val="009F7C66"/>
    <w:rsid w:val="00A112F5"/>
    <w:rsid w:val="00A12EE4"/>
    <w:rsid w:val="00A25493"/>
    <w:rsid w:val="00A25FBE"/>
    <w:rsid w:val="00A273D2"/>
    <w:rsid w:val="00A315B9"/>
    <w:rsid w:val="00A4393E"/>
    <w:rsid w:val="00A44947"/>
    <w:rsid w:val="00A4610F"/>
    <w:rsid w:val="00A463C2"/>
    <w:rsid w:val="00A479A3"/>
    <w:rsid w:val="00A50D20"/>
    <w:rsid w:val="00A50E19"/>
    <w:rsid w:val="00A629E4"/>
    <w:rsid w:val="00A64FEE"/>
    <w:rsid w:val="00A663D6"/>
    <w:rsid w:val="00A70BCC"/>
    <w:rsid w:val="00A71CEA"/>
    <w:rsid w:val="00A768E1"/>
    <w:rsid w:val="00A818E5"/>
    <w:rsid w:val="00A854CE"/>
    <w:rsid w:val="00A901D5"/>
    <w:rsid w:val="00A965B0"/>
    <w:rsid w:val="00AA329F"/>
    <w:rsid w:val="00AB0CA6"/>
    <w:rsid w:val="00AB3AF1"/>
    <w:rsid w:val="00AB7A3E"/>
    <w:rsid w:val="00AC4165"/>
    <w:rsid w:val="00AC49A5"/>
    <w:rsid w:val="00AC5F0B"/>
    <w:rsid w:val="00AD1A40"/>
    <w:rsid w:val="00AD4823"/>
    <w:rsid w:val="00AF6430"/>
    <w:rsid w:val="00B052CE"/>
    <w:rsid w:val="00B06326"/>
    <w:rsid w:val="00B128C7"/>
    <w:rsid w:val="00B14AB4"/>
    <w:rsid w:val="00B17C9A"/>
    <w:rsid w:val="00B2026F"/>
    <w:rsid w:val="00B22E17"/>
    <w:rsid w:val="00B26057"/>
    <w:rsid w:val="00B26288"/>
    <w:rsid w:val="00B353CA"/>
    <w:rsid w:val="00B359DA"/>
    <w:rsid w:val="00B41686"/>
    <w:rsid w:val="00B42B98"/>
    <w:rsid w:val="00B51817"/>
    <w:rsid w:val="00B6010F"/>
    <w:rsid w:val="00B651DF"/>
    <w:rsid w:val="00B652ED"/>
    <w:rsid w:val="00B73F78"/>
    <w:rsid w:val="00B777B4"/>
    <w:rsid w:val="00B8018B"/>
    <w:rsid w:val="00B80C38"/>
    <w:rsid w:val="00B8435A"/>
    <w:rsid w:val="00B84635"/>
    <w:rsid w:val="00B92682"/>
    <w:rsid w:val="00B9355E"/>
    <w:rsid w:val="00BB109F"/>
    <w:rsid w:val="00BB2A01"/>
    <w:rsid w:val="00BB50C8"/>
    <w:rsid w:val="00BD0274"/>
    <w:rsid w:val="00BD5069"/>
    <w:rsid w:val="00BD5987"/>
    <w:rsid w:val="00BE5F04"/>
    <w:rsid w:val="00BF1FEB"/>
    <w:rsid w:val="00BF2786"/>
    <w:rsid w:val="00BF3694"/>
    <w:rsid w:val="00BF5487"/>
    <w:rsid w:val="00BF664B"/>
    <w:rsid w:val="00C00045"/>
    <w:rsid w:val="00C067EB"/>
    <w:rsid w:val="00C1636C"/>
    <w:rsid w:val="00C238E0"/>
    <w:rsid w:val="00C30C10"/>
    <w:rsid w:val="00C37CF0"/>
    <w:rsid w:val="00C451DD"/>
    <w:rsid w:val="00C54968"/>
    <w:rsid w:val="00C54F15"/>
    <w:rsid w:val="00C56519"/>
    <w:rsid w:val="00C60AF6"/>
    <w:rsid w:val="00C61ABD"/>
    <w:rsid w:val="00C728F4"/>
    <w:rsid w:val="00C7467E"/>
    <w:rsid w:val="00C77AEB"/>
    <w:rsid w:val="00C9454E"/>
    <w:rsid w:val="00CA5EB9"/>
    <w:rsid w:val="00CB75B5"/>
    <w:rsid w:val="00CC3242"/>
    <w:rsid w:val="00CC45B4"/>
    <w:rsid w:val="00CC68D4"/>
    <w:rsid w:val="00CD1573"/>
    <w:rsid w:val="00CD6D93"/>
    <w:rsid w:val="00CE12B5"/>
    <w:rsid w:val="00CF399B"/>
    <w:rsid w:val="00CF67E4"/>
    <w:rsid w:val="00D004E1"/>
    <w:rsid w:val="00D1034A"/>
    <w:rsid w:val="00D35D85"/>
    <w:rsid w:val="00D42486"/>
    <w:rsid w:val="00D442F3"/>
    <w:rsid w:val="00D5514D"/>
    <w:rsid w:val="00D555B1"/>
    <w:rsid w:val="00D5591C"/>
    <w:rsid w:val="00D602E3"/>
    <w:rsid w:val="00D6727A"/>
    <w:rsid w:val="00D7066A"/>
    <w:rsid w:val="00D75E17"/>
    <w:rsid w:val="00D777AC"/>
    <w:rsid w:val="00D81E56"/>
    <w:rsid w:val="00D92495"/>
    <w:rsid w:val="00DA56B2"/>
    <w:rsid w:val="00DA587D"/>
    <w:rsid w:val="00DA6266"/>
    <w:rsid w:val="00DA70EA"/>
    <w:rsid w:val="00DB0F26"/>
    <w:rsid w:val="00DC1E18"/>
    <w:rsid w:val="00DC2D88"/>
    <w:rsid w:val="00DC3970"/>
    <w:rsid w:val="00DD57E2"/>
    <w:rsid w:val="00DE5BC5"/>
    <w:rsid w:val="00DF0CE5"/>
    <w:rsid w:val="00E05F0D"/>
    <w:rsid w:val="00E12324"/>
    <w:rsid w:val="00E15AE8"/>
    <w:rsid w:val="00E212E4"/>
    <w:rsid w:val="00E2549A"/>
    <w:rsid w:val="00E2565F"/>
    <w:rsid w:val="00E278A5"/>
    <w:rsid w:val="00E31A31"/>
    <w:rsid w:val="00E32824"/>
    <w:rsid w:val="00E42164"/>
    <w:rsid w:val="00E44DD6"/>
    <w:rsid w:val="00E46A8C"/>
    <w:rsid w:val="00E50FA6"/>
    <w:rsid w:val="00E52DDD"/>
    <w:rsid w:val="00E5773A"/>
    <w:rsid w:val="00E6111A"/>
    <w:rsid w:val="00E6222D"/>
    <w:rsid w:val="00E75AAA"/>
    <w:rsid w:val="00E7778A"/>
    <w:rsid w:val="00E80A2D"/>
    <w:rsid w:val="00E81FDF"/>
    <w:rsid w:val="00E85333"/>
    <w:rsid w:val="00E87AE5"/>
    <w:rsid w:val="00E907C9"/>
    <w:rsid w:val="00E90E54"/>
    <w:rsid w:val="00E91FDA"/>
    <w:rsid w:val="00EA12BA"/>
    <w:rsid w:val="00EB0301"/>
    <w:rsid w:val="00EB0CBF"/>
    <w:rsid w:val="00EB4A31"/>
    <w:rsid w:val="00ED0B00"/>
    <w:rsid w:val="00EE1342"/>
    <w:rsid w:val="00EE5053"/>
    <w:rsid w:val="00EE6DD8"/>
    <w:rsid w:val="00EF1258"/>
    <w:rsid w:val="00EF159A"/>
    <w:rsid w:val="00EF2C3E"/>
    <w:rsid w:val="00F00140"/>
    <w:rsid w:val="00F11721"/>
    <w:rsid w:val="00F137BC"/>
    <w:rsid w:val="00F167BD"/>
    <w:rsid w:val="00F247D1"/>
    <w:rsid w:val="00F26637"/>
    <w:rsid w:val="00F301D1"/>
    <w:rsid w:val="00F67106"/>
    <w:rsid w:val="00F73F08"/>
    <w:rsid w:val="00F851A7"/>
    <w:rsid w:val="00F937FB"/>
    <w:rsid w:val="00F974E7"/>
    <w:rsid w:val="00F97B89"/>
    <w:rsid w:val="00FA4EEF"/>
    <w:rsid w:val="00FA5817"/>
    <w:rsid w:val="00FA79F4"/>
    <w:rsid w:val="00FB2248"/>
    <w:rsid w:val="00FB650B"/>
    <w:rsid w:val="00FC732F"/>
    <w:rsid w:val="00FD693E"/>
    <w:rsid w:val="00FE7139"/>
    <w:rsid w:val="00FE7159"/>
    <w:rsid w:val="00FE7A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CFD0AB"/>
  <w15:docId w15:val="{A890767E-8CDB-4350-959C-3D0F47C32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36" w:qFormat="1"/>
    <w:lsdException w:name="heading 1" w:uiPriority="3" w:qFormat="1"/>
    <w:lsdException w:name="heading 2" w:semiHidden="1" w:uiPriority="3" w:unhideWhenUsed="1" w:qFormat="1"/>
    <w:lsdException w:name="heading 3" w:semiHidden="1" w:uiPriority="3" w:unhideWhenUsed="1" w:qFormat="1"/>
    <w:lsdException w:name="heading 4" w:semiHidden="1" w:uiPriority="3" w:unhideWhenUsed="1" w:qFormat="1"/>
    <w:lsdException w:name="heading 5" w:semiHidden="1" w:uiPriority="3" w:unhideWhenUsed="1" w:qFormat="1"/>
    <w:lsdException w:name="heading 6" w:semiHidden="1" w:uiPriority="13" w:unhideWhenUsed="1"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33" w:unhideWhenUsed="1"/>
    <w:lsdException w:name="footer" w:semiHidden="1" w:uiPriority="34" w:unhideWhenUsed="1"/>
    <w:lsdException w:name="index heading" w:semiHidden="1" w:unhideWhenUsed="1"/>
    <w:lsdException w:name="caption" w:semiHidden="1" w:uiPriority="5" w:unhideWhenUsed="1" w:qFormat="1"/>
    <w:lsdException w:name="table of figures" w:semiHidden="1" w:uiPriority="38"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 w:unhideWhenUsed="1" w:qFormat="1"/>
    <w:lsdException w:name="List Number"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 w:unhideWhenUsed="1" w:qFormat="1"/>
    <w:lsdException w:name="List Bullet 3" w:semiHidden="1" w:uiPriority="9" w:unhideWhenUsed="1" w:qFormat="1"/>
    <w:lsdException w:name="List Bullet 4" w:semiHidden="1" w:unhideWhenUsed="1"/>
    <w:lsdException w:name="List Bullet 5" w:semiHidden="1" w:unhideWhenUsed="1"/>
    <w:lsdException w:name="List Number 2" w:semiHidden="1" w:uiPriority="11" w:unhideWhenUsed="1" w:qFormat="1"/>
    <w:lsdException w:name="List Number 3" w:semiHidden="1" w:uiPriority="11" w:unhideWhenUsed="1" w:qFormat="1"/>
    <w:lsdException w:name="List Number 4" w:semiHidden="1" w:unhideWhenUsed="1"/>
    <w:lsdException w:name="List Number 5" w:semiHidden="1" w:unhideWhenUsed="1"/>
    <w:lsdException w:name="Title" w:uiPriority="2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3" w:qFormat="1"/>
    <w:lsdException w:name="Salutation" w:semiHidden="1" w:unhideWhenUsed="1"/>
    <w:lsdException w:name="Date" w:semiHidden="1" w:uiPriority="25"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5"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36"/>
    <w:qFormat/>
    <w:rsid w:val="009868FE"/>
    <w:pPr>
      <w:spacing w:after="0" w:line="240" w:lineRule="auto"/>
    </w:pPr>
    <w:rPr>
      <w:rFonts w:ascii="Arial" w:hAnsi="Arial"/>
      <w:color w:val="1F497D" w:themeColor="text2"/>
      <w:sz w:val="20"/>
    </w:rPr>
  </w:style>
  <w:style w:type="paragraph" w:styleId="Heading1">
    <w:name w:val="heading 1"/>
    <w:aliases w:val="H1 Numb"/>
    <w:basedOn w:val="Normal"/>
    <w:next w:val="Heading2"/>
    <w:link w:val="Heading1Char"/>
    <w:uiPriority w:val="3"/>
    <w:qFormat/>
    <w:rsid w:val="00B42B98"/>
    <w:pPr>
      <w:keepNext/>
      <w:keepLines/>
      <w:numPr>
        <w:numId w:val="6"/>
      </w:numPr>
      <w:spacing w:after="360"/>
      <w:outlineLvl w:val="0"/>
    </w:pPr>
    <w:rPr>
      <w:rFonts w:eastAsia="Times New Roman" w:cs="Times New Roman"/>
      <w:bCs/>
      <w:color w:val="auto"/>
      <w:sz w:val="48"/>
      <w:szCs w:val="28"/>
    </w:rPr>
  </w:style>
  <w:style w:type="paragraph" w:styleId="Heading2">
    <w:name w:val="heading 2"/>
    <w:aliases w:val="H2 Numb"/>
    <w:basedOn w:val="BodyText"/>
    <w:link w:val="Heading2Char"/>
    <w:uiPriority w:val="3"/>
    <w:qFormat/>
    <w:rsid w:val="004B7723"/>
    <w:pPr>
      <w:keepLines/>
      <w:numPr>
        <w:ilvl w:val="1"/>
        <w:numId w:val="6"/>
      </w:numPr>
      <w:outlineLvl w:val="1"/>
    </w:pPr>
    <w:rPr>
      <w:rFonts w:eastAsia="Times New Roman" w:cs="Times New Roman"/>
      <w:bCs/>
      <w:szCs w:val="26"/>
    </w:rPr>
  </w:style>
  <w:style w:type="paragraph" w:styleId="Heading3">
    <w:name w:val="heading 3"/>
    <w:aliases w:val="H3 Numb"/>
    <w:basedOn w:val="Heading2"/>
    <w:link w:val="Heading3Char"/>
    <w:uiPriority w:val="3"/>
    <w:qFormat/>
    <w:rsid w:val="00DA70EA"/>
    <w:pPr>
      <w:numPr>
        <w:ilvl w:val="2"/>
      </w:numPr>
      <w:outlineLvl w:val="2"/>
    </w:pPr>
    <w:rPr>
      <w:bCs w:val="0"/>
    </w:rPr>
  </w:style>
  <w:style w:type="paragraph" w:styleId="Heading4">
    <w:name w:val="heading 4"/>
    <w:aliases w:val="H4 Numb"/>
    <w:basedOn w:val="Normal"/>
    <w:next w:val="BodyText"/>
    <w:link w:val="Heading4Char"/>
    <w:uiPriority w:val="3"/>
    <w:qFormat/>
    <w:rsid w:val="00650B8D"/>
    <w:pPr>
      <w:keepNext/>
      <w:keepLines/>
      <w:numPr>
        <w:ilvl w:val="3"/>
        <w:numId w:val="6"/>
      </w:numPr>
      <w:tabs>
        <w:tab w:val="clear" w:pos="5103"/>
      </w:tabs>
      <w:spacing w:after="200"/>
      <w:ind w:left="0" w:firstLine="0"/>
      <w:outlineLvl w:val="3"/>
    </w:pPr>
    <w:rPr>
      <w:rFonts w:eastAsia="Times New Roman" w:cs="Times New Roman"/>
      <w:bCs/>
      <w:iCs/>
      <w:color w:val="auto"/>
    </w:rPr>
  </w:style>
  <w:style w:type="paragraph" w:styleId="Heading5">
    <w:name w:val="heading 5"/>
    <w:aliases w:val="H5 Numb"/>
    <w:basedOn w:val="Normal"/>
    <w:next w:val="BodyText"/>
    <w:link w:val="Heading5Char"/>
    <w:uiPriority w:val="3"/>
    <w:qFormat/>
    <w:rsid w:val="003336AB"/>
    <w:pPr>
      <w:keepNext/>
      <w:keepLines/>
      <w:numPr>
        <w:ilvl w:val="4"/>
        <w:numId w:val="6"/>
      </w:numPr>
      <w:spacing w:before="240" w:after="40"/>
      <w:outlineLvl w:val="4"/>
    </w:pPr>
    <w:rPr>
      <w:rFonts w:eastAsia="Times New Roman" w:cs="Times New Roman"/>
      <w:color w:val="C0504D" w:themeColor="accent2"/>
    </w:rPr>
  </w:style>
  <w:style w:type="paragraph" w:styleId="Heading6">
    <w:name w:val="heading 6"/>
    <w:basedOn w:val="Normal"/>
    <w:next w:val="Heading7"/>
    <w:link w:val="Heading6Char"/>
    <w:uiPriority w:val="13"/>
    <w:qFormat/>
    <w:rsid w:val="003336AB"/>
    <w:pPr>
      <w:keepNext/>
      <w:keepLines/>
      <w:pageBreakBefore/>
      <w:numPr>
        <w:ilvl w:val="5"/>
        <w:numId w:val="6"/>
      </w:numPr>
      <w:tabs>
        <w:tab w:val="left" w:pos="2948"/>
      </w:tabs>
      <w:spacing w:after="360"/>
      <w:outlineLvl w:val="5"/>
    </w:pPr>
    <w:rPr>
      <w:rFonts w:eastAsia="Times New Roman" w:cs="Times New Roman"/>
      <w:iCs/>
      <w:color w:val="C0504D" w:themeColor="accent2"/>
      <w:sz w:val="48"/>
    </w:rPr>
  </w:style>
  <w:style w:type="paragraph" w:styleId="Heading7">
    <w:name w:val="heading 7"/>
    <w:basedOn w:val="Normal"/>
    <w:link w:val="Heading7Char"/>
    <w:uiPriority w:val="13"/>
    <w:qFormat/>
    <w:rsid w:val="003336AB"/>
    <w:pPr>
      <w:keepNext/>
      <w:keepLines/>
      <w:numPr>
        <w:ilvl w:val="6"/>
        <w:numId w:val="6"/>
      </w:numPr>
      <w:spacing w:before="360" w:after="40"/>
      <w:outlineLvl w:val="6"/>
    </w:pPr>
    <w:rPr>
      <w:rFonts w:eastAsia="Times New Roman" w:cs="Times New Roman"/>
      <w:iCs/>
      <w:color w:val="C0504D" w:themeColor="accent2"/>
      <w:sz w:val="30"/>
    </w:rPr>
  </w:style>
  <w:style w:type="paragraph" w:styleId="Heading8">
    <w:name w:val="heading 8"/>
    <w:basedOn w:val="Normal"/>
    <w:link w:val="Heading8Char"/>
    <w:uiPriority w:val="13"/>
    <w:qFormat/>
    <w:rsid w:val="003336AB"/>
    <w:pPr>
      <w:keepNext/>
      <w:keepLines/>
      <w:numPr>
        <w:ilvl w:val="7"/>
        <w:numId w:val="6"/>
      </w:numPr>
      <w:spacing w:before="240" w:after="40"/>
      <w:outlineLvl w:val="7"/>
    </w:pPr>
    <w:rPr>
      <w:rFonts w:eastAsia="Times New Roman" w:cs="Times New Roman"/>
      <w:color w:val="C0504D" w:themeColor="accent2"/>
      <w:sz w:val="26"/>
      <w:szCs w:val="20"/>
    </w:rPr>
  </w:style>
  <w:style w:type="paragraph" w:styleId="Heading9">
    <w:name w:val="heading 9"/>
    <w:basedOn w:val="Normal"/>
    <w:link w:val="Heading9Char"/>
    <w:uiPriority w:val="13"/>
    <w:qFormat/>
    <w:rsid w:val="003336AB"/>
    <w:pPr>
      <w:keepNext/>
      <w:keepLines/>
      <w:numPr>
        <w:ilvl w:val="8"/>
        <w:numId w:val="7"/>
      </w:numPr>
      <w:spacing w:before="240" w:after="40"/>
      <w:outlineLvl w:val="8"/>
    </w:pPr>
    <w:rPr>
      <w:rFonts w:eastAsia="Times New Roman" w:cs="Times New Roman"/>
      <w:iCs/>
      <w:color w:val="C0504D" w:themeColor="accent2"/>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34"/>
    <w:rsid w:val="003336AB"/>
    <w:rPr>
      <w:sz w:val="16"/>
    </w:rPr>
  </w:style>
  <w:style w:type="character" w:customStyle="1" w:styleId="FooterChar">
    <w:name w:val="Footer Char"/>
    <w:basedOn w:val="DefaultParagraphFont"/>
    <w:link w:val="Footer"/>
    <w:uiPriority w:val="34"/>
    <w:rsid w:val="003336AB"/>
    <w:rPr>
      <w:rFonts w:ascii="Arial" w:hAnsi="Arial"/>
      <w:color w:val="1F497D" w:themeColor="text2"/>
      <w:sz w:val="16"/>
    </w:rPr>
  </w:style>
  <w:style w:type="character" w:customStyle="1" w:styleId="st1">
    <w:name w:val="st1"/>
    <w:basedOn w:val="DefaultParagraphFont"/>
    <w:rsid w:val="00217BD6"/>
  </w:style>
  <w:style w:type="paragraph" w:customStyle="1" w:styleId="Default">
    <w:name w:val="Default"/>
    <w:rsid w:val="00217BD6"/>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rsid w:val="003336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36AB"/>
    <w:rPr>
      <w:rFonts w:ascii="Segoe UI" w:hAnsi="Segoe UI" w:cs="Segoe UI"/>
      <w:color w:val="1F497D" w:themeColor="text2"/>
      <w:sz w:val="18"/>
      <w:szCs w:val="18"/>
    </w:rPr>
  </w:style>
  <w:style w:type="paragraph" w:styleId="BodyText">
    <w:name w:val="Body Text"/>
    <w:basedOn w:val="Normal"/>
    <w:link w:val="BodyTextChar"/>
    <w:qFormat/>
    <w:rsid w:val="00B42B98"/>
    <w:pPr>
      <w:spacing w:after="200"/>
    </w:pPr>
    <w:rPr>
      <w:color w:val="auto"/>
    </w:rPr>
  </w:style>
  <w:style w:type="character" w:customStyle="1" w:styleId="BodyTextChar">
    <w:name w:val="Body Text Char"/>
    <w:basedOn w:val="DefaultParagraphFont"/>
    <w:link w:val="BodyText"/>
    <w:rsid w:val="00B42B98"/>
    <w:rPr>
      <w:rFonts w:ascii="Arial" w:hAnsi="Arial"/>
      <w:sz w:val="20"/>
    </w:rPr>
  </w:style>
  <w:style w:type="paragraph" w:styleId="Caption">
    <w:name w:val="caption"/>
    <w:basedOn w:val="Normal"/>
    <w:next w:val="Normal"/>
    <w:uiPriority w:val="5"/>
    <w:qFormat/>
    <w:rsid w:val="003336AB"/>
    <w:pPr>
      <w:spacing w:before="60" w:after="240"/>
    </w:pPr>
    <w:rPr>
      <w:b/>
      <w:iCs/>
      <w:szCs w:val="18"/>
    </w:rPr>
  </w:style>
  <w:style w:type="paragraph" w:customStyle="1" w:styleId="ClientName">
    <w:name w:val="Client Name"/>
    <w:basedOn w:val="Normal"/>
    <w:uiPriority w:val="24"/>
    <w:qFormat/>
    <w:rsid w:val="00180FCD"/>
    <w:rPr>
      <w:color w:val="000000" w:themeColor="text1"/>
      <w:sz w:val="32"/>
    </w:rPr>
  </w:style>
  <w:style w:type="character" w:styleId="CommentReference">
    <w:name w:val="annotation reference"/>
    <w:basedOn w:val="DefaultParagraphFont"/>
    <w:uiPriority w:val="99"/>
    <w:semiHidden/>
    <w:rsid w:val="003336AB"/>
    <w:rPr>
      <w:sz w:val="16"/>
      <w:szCs w:val="16"/>
    </w:rPr>
  </w:style>
  <w:style w:type="paragraph" w:styleId="CommentText">
    <w:name w:val="annotation text"/>
    <w:basedOn w:val="Normal"/>
    <w:link w:val="CommentTextChar"/>
    <w:uiPriority w:val="99"/>
    <w:semiHidden/>
    <w:rsid w:val="003336AB"/>
    <w:rPr>
      <w:szCs w:val="20"/>
    </w:rPr>
  </w:style>
  <w:style w:type="character" w:customStyle="1" w:styleId="CommentTextChar">
    <w:name w:val="Comment Text Char"/>
    <w:basedOn w:val="DefaultParagraphFont"/>
    <w:link w:val="CommentText"/>
    <w:uiPriority w:val="99"/>
    <w:semiHidden/>
    <w:rsid w:val="003336AB"/>
    <w:rPr>
      <w:rFonts w:ascii="Arial" w:hAnsi="Arial"/>
      <w:color w:val="1F497D" w:themeColor="text2"/>
      <w:sz w:val="20"/>
      <w:szCs w:val="20"/>
    </w:rPr>
  </w:style>
  <w:style w:type="paragraph" w:styleId="CommentSubject">
    <w:name w:val="annotation subject"/>
    <w:basedOn w:val="CommentText"/>
    <w:next w:val="CommentText"/>
    <w:link w:val="CommentSubjectChar"/>
    <w:uiPriority w:val="99"/>
    <w:semiHidden/>
    <w:rsid w:val="003336AB"/>
    <w:rPr>
      <w:b/>
      <w:bCs/>
    </w:rPr>
  </w:style>
  <w:style w:type="character" w:customStyle="1" w:styleId="CommentSubjectChar">
    <w:name w:val="Comment Subject Char"/>
    <w:basedOn w:val="CommentTextChar"/>
    <w:link w:val="CommentSubject"/>
    <w:uiPriority w:val="99"/>
    <w:semiHidden/>
    <w:rsid w:val="003336AB"/>
    <w:rPr>
      <w:rFonts w:ascii="Arial" w:hAnsi="Arial"/>
      <w:b/>
      <w:bCs/>
      <w:color w:val="1F497D" w:themeColor="text2"/>
      <w:sz w:val="20"/>
      <w:szCs w:val="20"/>
    </w:rPr>
  </w:style>
  <w:style w:type="paragraph" w:styleId="Date">
    <w:name w:val="Date"/>
    <w:basedOn w:val="Normal"/>
    <w:next w:val="Normal"/>
    <w:link w:val="DateChar"/>
    <w:uiPriority w:val="25"/>
    <w:rsid w:val="003336AB"/>
    <w:pPr>
      <w:spacing w:before="360"/>
    </w:pPr>
    <w:rPr>
      <w:color w:val="C0504D" w:themeColor="accent2"/>
      <w:sz w:val="22"/>
    </w:rPr>
  </w:style>
  <w:style w:type="character" w:customStyle="1" w:styleId="DateChar">
    <w:name w:val="Date Char"/>
    <w:basedOn w:val="DefaultParagraphFont"/>
    <w:link w:val="Date"/>
    <w:uiPriority w:val="25"/>
    <w:rsid w:val="003336AB"/>
    <w:rPr>
      <w:rFonts w:ascii="Arial" w:hAnsi="Arial"/>
      <w:color w:val="C0504D" w:themeColor="accent2"/>
    </w:rPr>
  </w:style>
  <w:style w:type="paragraph" w:customStyle="1" w:styleId="DividerHeading">
    <w:name w:val="Divider Heading"/>
    <w:basedOn w:val="Normal"/>
    <w:next w:val="Normal"/>
    <w:uiPriority w:val="26"/>
    <w:qFormat/>
    <w:rsid w:val="003336AB"/>
    <w:pPr>
      <w:spacing w:before="1080" w:after="120"/>
      <w:ind w:right="1418"/>
    </w:pPr>
    <w:rPr>
      <w:b/>
      <w:color w:val="FFFFFF" w:themeColor="background1"/>
      <w:sz w:val="48"/>
    </w:rPr>
  </w:style>
  <w:style w:type="paragraph" w:customStyle="1" w:styleId="DividerText">
    <w:name w:val="Divider Text"/>
    <w:basedOn w:val="DividerHeading"/>
    <w:uiPriority w:val="26"/>
    <w:qFormat/>
    <w:rsid w:val="003336AB"/>
    <w:pPr>
      <w:spacing w:before="0"/>
    </w:pPr>
    <w:rPr>
      <w:b w:val="0"/>
    </w:rPr>
  </w:style>
  <w:style w:type="paragraph" w:customStyle="1" w:styleId="DocumentType">
    <w:name w:val="Document Type"/>
    <w:basedOn w:val="Normal"/>
    <w:uiPriority w:val="32"/>
    <w:qFormat/>
    <w:rsid w:val="003336AB"/>
    <w:pPr>
      <w:spacing w:after="360"/>
    </w:pPr>
    <w:rPr>
      <w:rFonts w:eastAsia="Times New Roman" w:cs="Times New Roman"/>
      <w:bCs/>
      <w:color w:val="C0504D" w:themeColor="accent2"/>
      <w:sz w:val="40"/>
      <w:szCs w:val="28"/>
    </w:rPr>
  </w:style>
  <w:style w:type="paragraph" w:customStyle="1" w:styleId="FooterTiny">
    <w:name w:val="Footer Tiny"/>
    <w:basedOn w:val="Footer"/>
    <w:uiPriority w:val="35"/>
    <w:rsid w:val="003336AB"/>
    <w:rPr>
      <w:sz w:val="4"/>
    </w:rPr>
  </w:style>
  <w:style w:type="character" w:customStyle="1" w:styleId="Heading1Char">
    <w:name w:val="Heading 1 Char"/>
    <w:aliases w:val="H1 Numb Char"/>
    <w:basedOn w:val="DefaultParagraphFont"/>
    <w:link w:val="Heading1"/>
    <w:uiPriority w:val="3"/>
    <w:rsid w:val="00B42B98"/>
    <w:rPr>
      <w:rFonts w:ascii="Arial" w:eastAsia="Times New Roman" w:hAnsi="Arial" w:cs="Times New Roman"/>
      <w:bCs/>
      <w:sz w:val="48"/>
      <w:szCs w:val="28"/>
    </w:rPr>
  </w:style>
  <w:style w:type="paragraph" w:customStyle="1" w:styleId="H1NoNumb">
    <w:name w:val="H1 No Numb"/>
    <w:basedOn w:val="Heading1"/>
    <w:next w:val="BodyText"/>
    <w:link w:val="H1NoNumbChar"/>
    <w:uiPriority w:val="4"/>
    <w:qFormat/>
    <w:rsid w:val="003336AB"/>
    <w:pPr>
      <w:numPr>
        <w:numId w:val="0"/>
      </w:numPr>
    </w:pPr>
  </w:style>
  <w:style w:type="character" w:customStyle="1" w:styleId="H1NoNumbChar">
    <w:name w:val="H1 No Numb Char"/>
    <w:basedOn w:val="Heading1Char"/>
    <w:link w:val="H1NoNumb"/>
    <w:uiPriority w:val="4"/>
    <w:rsid w:val="003336AB"/>
    <w:rPr>
      <w:rFonts w:ascii="Arial" w:eastAsia="Times New Roman" w:hAnsi="Arial" w:cs="Times New Roman"/>
      <w:bCs/>
      <w:color w:val="C0504D" w:themeColor="accent2"/>
      <w:sz w:val="48"/>
      <w:szCs w:val="28"/>
    </w:rPr>
  </w:style>
  <w:style w:type="paragraph" w:customStyle="1" w:styleId="H1NoTOC">
    <w:name w:val="H1 NoTOC"/>
    <w:basedOn w:val="H1NoNumb"/>
    <w:uiPriority w:val="16"/>
    <w:qFormat/>
    <w:rsid w:val="003336AB"/>
  </w:style>
  <w:style w:type="character" w:customStyle="1" w:styleId="Heading2Char">
    <w:name w:val="Heading 2 Char"/>
    <w:aliases w:val="H2 Numb Char"/>
    <w:basedOn w:val="DefaultParagraphFont"/>
    <w:link w:val="Heading2"/>
    <w:uiPriority w:val="3"/>
    <w:rsid w:val="004B7723"/>
    <w:rPr>
      <w:rFonts w:ascii="Arial" w:eastAsia="Times New Roman" w:hAnsi="Arial" w:cs="Times New Roman"/>
      <w:bCs/>
      <w:sz w:val="20"/>
      <w:szCs w:val="26"/>
    </w:rPr>
  </w:style>
  <w:style w:type="paragraph" w:customStyle="1" w:styleId="H2NoNumb">
    <w:name w:val="H2 No Numb"/>
    <w:basedOn w:val="Heading2"/>
    <w:next w:val="BodyText"/>
    <w:link w:val="H2NoNumbChar"/>
    <w:uiPriority w:val="4"/>
    <w:qFormat/>
    <w:rsid w:val="003336AB"/>
    <w:pPr>
      <w:numPr>
        <w:ilvl w:val="0"/>
        <w:numId w:val="0"/>
      </w:numPr>
    </w:pPr>
  </w:style>
  <w:style w:type="character" w:customStyle="1" w:styleId="H2NoNumbChar">
    <w:name w:val="H2 No Numb Char"/>
    <w:basedOn w:val="Heading2Char"/>
    <w:link w:val="H2NoNumb"/>
    <w:uiPriority w:val="4"/>
    <w:rsid w:val="003336AB"/>
    <w:rPr>
      <w:rFonts w:ascii="Arial" w:eastAsia="Times New Roman" w:hAnsi="Arial" w:cs="Times New Roman"/>
      <w:bCs/>
      <w:color w:val="1F497D" w:themeColor="text2"/>
      <w:sz w:val="20"/>
      <w:szCs w:val="26"/>
    </w:rPr>
  </w:style>
  <w:style w:type="character" w:customStyle="1" w:styleId="Heading3Char">
    <w:name w:val="Heading 3 Char"/>
    <w:aliases w:val="H3 Numb Char"/>
    <w:basedOn w:val="DefaultParagraphFont"/>
    <w:link w:val="Heading3"/>
    <w:uiPriority w:val="3"/>
    <w:rsid w:val="00DA70EA"/>
    <w:rPr>
      <w:rFonts w:ascii="Arial" w:eastAsia="Times New Roman" w:hAnsi="Arial" w:cs="Times New Roman"/>
      <w:sz w:val="20"/>
      <w:szCs w:val="26"/>
    </w:rPr>
  </w:style>
  <w:style w:type="paragraph" w:customStyle="1" w:styleId="H3NoNumb">
    <w:name w:val="H3 No Numb"/>
    <w:basedOn w:val="Heading3"/>
    <w:next w:val="BodyText"/>
    <w:link w:val="H3NoNumbChar"/>
    <w:uiPriority w:val="4"/>
    <w:qFormat/>
    <w:rsid w:val="003336AB"/>
    <w:pPr>
      <w:numPr>
        <w:ilvl w:val="0"/>
        <w:numId w:val="0"/>
      </w:numPr>
    </w:pPr>
  </w:style>
  <w:style w:type="character" w:customStyle="1" w:styleId="H3NoNumbChar">
    <w:name w:val="H3 No Numb Char"/>
    <w:basedOn w:val="Heading3Char"/>
    <w:link w:val="H3NoNumb"/>
    <w:uiPriority w:val="4"/>
    <w:rsid w:val="003336AB"/>
    <w:rPr>
      <w:rFonts w:ascii="Arial" w:eastAsia="Times New Roman" w:hAnsi="Arial" w:cs="Times New Roman"/>
      <w:color w:val="1F497D" w:themeColor="text2"/>
      <w:sz w:val="20"/>
      <w:szCs w:val="26"/>
    </w:rPr>
  </w:style>
  <w:style w:type="character" w:customStyle="1" w:styleId="Heading4Char">
    <w:name w:val="Heading 4 Char"/>
    <w:aliases w:val="H4 Numb Char"/>
    <w:basedOn w:val="DefaultParagraphFont"/>
    <w:link w:val="Heading4"/>
    <w:uiPriority w:val="3"/>
    <w:rsid w:val="00650B8D"/>
    <w:rPr>
      <w:rFonts w:ascii="Arial" w:eastAsia="Times New Roman" w:hAnsi="Arial" w:cs="Times New Roman"/>
      <w:bCs/>
      <w:iCs/>
      <w:sz w:val="20"/>
    </w:rPr>
  </w:style>
  <w:style w:type="paragraph" w:customStyle="1" w:styleId="H4NoNumb">
    <w:name w:val="H4 No Numb"/>
    <w:basedOn w:val="Heading4"/>
    <w:next w:val="BodyText"/>
    <w:link w:val="H4NoNumbChar"/>
    <w:uiPriority w:val="4"/>
    <w:qFormat/>
    <w:rsid w:val="003336AB"/>
    <w:pPr>
      <w:numPr>
        <w:ilvl w:val="0"/>
        <w:numId w:val="0"/>
      </w:numPr>
    </w:pPr>
  </w:style>
  <w:style w:type="character" w:customStyle="1" w:styleId="H4NoNumbChar">
    <w:name w:val="H4 No Numb Char"/>
    <w:basedOn w:val="Heading4Char"/>
    <w:link w:val="H4NoNumb"/>
    <w:uiPriority w:val="4"/>
    <w:rsid w:val="003336AB"/>
    <w:rPr>
      <w:rFonts w:ascii="Arial" w:eastAsia="Times New Roman" w:hAnsi="Arial" w:cs="Times New Roman"/>
      <w:bCs/>
      <w:iCs/>
      <w:color w:val="C0504D" w:themeColor="accent2"/>
      <w:sz w:val="20"/>
    </w:rPr>
  </w:style>
  <w:style w:type="character" w:customStyle="1" w:styleId="Heading5Char">
    <w:name w:val="Heading 5 Char"/>
    <w:aliases w:val="H5 Numb Char"/>
    <w:basedOn w:val="DefaultParagraphFont"/>
    <w:link w:val="Heading5"/>
    <w:uiPriority w:val="3"/>
    <w:rsid w:val="003336AB"/>
    <w:rPr>
      <w:rFonts w:ascii="Arial" w:eastAsia="Times New Roman" w:hAnsi="Arial" w:cs="Times New Roman"/>
      <w:color w:val="C0504D" w:themeColor="accent2"/>
      <w:sz w:val="20"/>
    </w:rPr>
  </w:style>
  <w:style w:type="paragraph" w:customStyle="1" w:styleId="H5NoNumb">
    <w:name w:val="H5 No Numb"/>
    <w:basedOn w:val="Heading5"/>
    <w:next w:val="BodyText"/>
    <w:link w:val="H5NoNumbChar"/>
    <w:uiPriority w:val="4"/>
    <w:qFormat/>
    <w:rsid w:val="003336AB"/>
    <w:pPr>
      <w:numPr>
        <w:ilvl w:val="0"/>
        <w:numId w:val="0"/>
      </w:numPr>
    </w:pPr>
  </w:style>
  <w:style w:type="character" w:customStyle="1" w:styleId="H5NoNumbChar">
    <w:name w:val="H5 No Numb Char"/>
    <w:basedOn w:val="Heading5Char"/>
    <w:link w:val="H5NoNumb"/>
    <w:uiPriority w:val="4"/>
    <w:rsid w:val="003336AB"/>
    <w:rPr>
      <w:rFonts w:ascii="Arial" w:eastAsia="Times New Roman" w:hAnsi="Arial" w:cs="Times New Roman"/>
      <w:color w:val="C0504D" w:themeColor="accent2"/>
      <w:sz w:val="20"/>
    </w:rPr>
  </w:style>
  <w:style w:type="paragraph" w:styleId="Header">
    <w:name w:val="header"/>
    <w:basedOn w:val="Normal"/>
    <w:link w:val="HeaderChar"/>
    <w:uiPriority w:val="33"/>
    <w:rsid w:val="003336AB"/>
    <w:pPr>
      <w:spacing w:after="240"/>
    </w:pPr>
    <w:rPr>
      <w:sz w:val="18"/>
    </w:rPr>
  </w:style>
  <w:style w:type="character" w:customStyle="1" w:styleId="HeaderChar">
    <w:name w:val="Header Char"/>
    <w:basedOn w:val="DefaultParagraphFont"/>
    <w:link w:val="Header"/>
    <w:uiPriority w:val="33"/>
    <w:rsid w:val="003336AB"/>
    <w:rPr>
      <w:rFonts w:ascii="Arial" w:hAnsi="Arial"/>
      <w:color w:val="1F497D" w:themeColor="text2"/>
      <w:sz w:val="18"/>
    </w:rPr>
  </w:style>
  <w:style w:type="character" w:customStyle="1" w:styleId="Heading6Char">
    <w:name w:val="Heading 6 Char"/>
    <w:basedOn w:val="DefaultParagraphFont"/>
    <w:link w:val="Heading6"/>
    <w:uiPriority w:val="13"/>
    <w:rsid w:val="003336AB"/>
    <w:rPr>
      <w:rFonts w:ascii="Arial" w:eastAsia="Times New Roman" w:hAnsi="Arial" w:cs="Times New Roman"/>
      <w:iCs/>
      <w:color w:val="C0504D" w:themeColor="accent2"/>
      <w:sz w:val="48"/>
    </w:rPr>
  </w:style>
  <w:style w:type="character" w:customStyle="1" w:styleId="Heading7Char">
    <w:name w:val="Heading 7 Char"/>
    <w:basedOn w:val="DefaultParagraphFont"/>
    <w:link w:val="Heading7"/>
    <w:uiPriority w:val="13"/>
    <w:rsid w:val="003336AB"/>
    <w:rPr>
      <w:rFonts w:ascii="Arial" w:eastAsia="Times New Roman" w:hAnsi="Arial" w:cs="Times New Roman"/>
      <w:iCs/>
      <w:color w:val="C0504D" w:themeColor="accent2"/>
      <w:sz w:val="30"/>
    </w:rPr>
  </w:style>
  <w:style w:type="character" w:customStyle="1" w:styleId="Heading8Char">
    <w:name w:val="Heading 8 Char"/>
    <w:basedOn w:val="DefaultParagraphFont"/>
    <w:link w:val="Heading8"/>
    <w:uiPriority w:val="13"/>
    <w:rsid w:val="003336AB"/>
    <w:rPr>
      <w:rFonts w:ascii="Arial" w:eastAsia="Times New Roman" w:hAnsi="Arial" w:cs="Times New Roman"/>
      <w:color w:val="C0504D" w:themeColor="accent2"/>
      <w:sz w:val="26"/>
      <w:szCs w:val="20"/>
    </w:rPr>
  </w:style>
  <w:style w:type="character" w:customStyle="1" w:styleId="Heading9Char">
    <w:name w:val="Heading 9 Char"/>
    <w:basedOn w:val="DefaultParagraphFont"/>
    <w:link w:val="Heading9"/>
    <w:uiPriority w:val="13"/>
    <w:rsid w:val="003336AB"/>
    <w:rPr>
      <w:rFonts w:ascii="Arial" w:eastAsia="Times New Roman" w:hAnsi="Arial" w:cs="Times New Roman"/>
      <w:iCs/>
      <w:color w:val="C0504D" w:themeColor="accent2"/>
      <w:szCs w:val="20"/>
    </w:rPr>
  </w:style>
  <w:style w:type="character" w:styleId="Hyperlink">
    <w:name w:val="Hyperlink"/>
    <w:basedOn w:val="DefaultParagraphFont"/>
    <w:uiPriority w:val="99"/>
    <w:qFormat/>
    <w:rsid w:val="003336AB"/>
    <w:rPr>
      <w:color w:val="C0504D" w:themeColor="accent2"/>
      <w:u w:val="single"/>
    </w:rPr>
  </w:style>
  <w:style w:type="paragraph" w:customStyle="1" w:styleId="Introduction">
    <w:name w:val="Introduction"/>
    <w:basedOn w:val="BodyText"/>
    <w:uiPriority w:val="12"/>
    <w:qFormat/>
    <w:rsid w:val="003336AB"/>
    <w:pPr>
      <w:spacing w:before="240" w:after="240"/>
    </w:pPr>
    <w:rPr>
      <w:sz w:val="24"/>
    </w:rPr>
  </w:style>
  <w:style w:type="paragraph" w:styleId="ListBullet">
    <w:name w:val="List Bullet"/>
    <w:basedOn w:val="BodyText"/>
    <w:uiPriority w:val="9"/>
    <w:qFormat/>
    <w:rsid w:val="00656C73"/>
    <w:pPr>
      <w:numPr>
        <w:numId w:val="5"/>
      </w:numPr>
      <w:ind w:left="709" w:firstLine="0"/>
      <w:contextualSpacing/>
    </w:pPr>
  </w:style>
  <w:style w:type="paragraph" w:styleId="ListBullet2">
    <w:name w:val="List Bullet 2"/>
    <w:basedOn w:val="Normal"/>
    <w:uiPriority w:val="9"/>
    <w:qFormat/>
    <w:rsid w:val="003336AB"/>
    <w:pPr>
      <w:spacing w:after="60"/>
      <w:ind w:left="697" w:hanging="357"/>
    </w:pPr>
  </w:style>
  <w:style w:type="paragraph" w:styleId="ListBullet3">
    <w:name w:val="List Bullet 3"/>
    <w:uiPriority w:val="9"/>
    <w:qFormat/>
    <w:rsid w:val="003336AB"/>
    <w:pPr>
      <w:spacing w:after="60" w:line="240" w:lineRule="auto"/>
      <w:ind w:left="924" w:hanging="357"/>
    </w:pPr>
    <w:rPr>
      <w:rFonts w:ascii="Arial" w:hAnsi="Arial"/>
      <w:color w:val="1F497D" w:themeColor="text2"/>
      <w:sz w:val="20"/>
    </w:rPr>
  </w:style>
  <w:style w:type="paragraph" w:styleId="ListNumber">
    <w:name w:val="List Number"/>
    <w:basedOn w:val="Normal"/>
    <w:uiPriority w:val="11"/>
    <w:qFormat/>
    <w:rsid w:val="003336AB"/>
    <w:pPr>
      <w:numPr>
        <w:numId w:val="3"/>
      </w:numPr>
      <w:contextualSpacing/>
    </w:pPr>
  </w:style>
  <w:style w:type="paragraph" w:styleId="ListNumber2">
    <w:name w:val="List Number 2"/>
    <w:basedOn w:val="Normal"/>
    <w:uiPriority w:val="11"/>
    <w:qFormat/>
    <w:rsid w:val="003336AB"/>
    <w:pPr>
      <w:contextualSpacing/>
    </w:pPr>
  </w:style>
  <w:style w:type="paragraph" w:styleId="ListNumber3">
    <w:name w:val="List Number 3"/>
    <w:basedOn w:val="Normal"/>
    <w:uiPriority w:val="11"/>
    <w:qFormat/>
    <w:rsid w:val="003336AB"/>
    <w:pPr>
      <w:numPr>
        <w:numId w:val="4"/>
      </w:numPr>
      <w:contextualSpacing/>
    </w:pPr>
  </w:style>
  <w:style w:type="paragraph" w:styleId="NoSpacing">
    <w:name w:val="No Spacing"/>
    <w:basedOn w:val="BodyText"/>
    <w:link w:val="NoSpacingChar"/>
    <w:qFormat/>
    <w:rsid w:val="003336AB"/>
    <w:pPr>
      <w:spacing w:after="0"/>
    </w:pPr>
  </w:style>
  <w:style w:type="character" w:customStyle="1" w:styleId="NoSpacingChar">
    <w:name w:val="No Spacing Char"/>
    <w:basedOn w:val="DefaultParagraphFont"/>
    <w:link w:val="NoSpacing"/>
    <w:rsid w:val="003336AB"/>
    <w:rPr>
      <w:rFonts w:ascii="Arial" w:hAnsi="Arial"/>
      <w:color w:val="1F497D" w:themeColor="text2"/>
      <w:sz w:val="20"/>
    </w:rPr>
  </w:style>
  <w:style w:type="character" w:styleId="PlaceholderText">
    <w:name w:val="Placeholder Text"/>
    <w:basedOn w:val="DefaultParagraphFont"/>
    <w:uiPriority w:val="99"/>
    <w:semiHidden/>
    <w:rsid w:val="003336AB"/>
    <w:rPr>
      <w:color w:val="808080"/>
    </w:rPr>
  </w:style>
  <w:style w:type="paragraph" w:styleId="Quote">
    <w:name w:val="Quote"/>
    <w:basedOn w:val="BodyText"/>
    <w:next w:val="BodyText"/>
    <w:link w:val="QuoteChar"/>
    <w:uiPriority w:val="5"/>
    <w:qFormat/>
    <w:rsid w:val="003336AB"/>
    <w:pPr>
      <w:spacing w:before="200"/>
    </w:pPr>
    <w:rPr>
      <w:i/>
      <w:iCs/>
    </w:rPr>
  </w:style>
  <w:style w:type="character" w:customStyle="1" w:styleId="QuoteChar">
    <w:name w:val="Quote Char"/>
    <w:basedOn w:val="DefaultParagraphFont"/>
    <w:link w:val="Quote"/>
    <w:uiPriority w:val="5"/>
    <w:rsid w:val="003336AB"/>
    <w:rPr>
      <w:rFonts w:ascii="Arial" w:hAnsi="Arial"/>
      <w:i/>
      <w:iCs/>
      <w:color w:val="1F497D" w:themeColor="text2"/>
      <w:sz w:val="20"/>
    </w:rPr>
  </w:style>
  <w:style w:type="paragraph" w:customStyle="1" w:styleId="SecurityMarkingFtr">
    <w:name w:val="Security Marking (Ftr)"/>
    <w:basedOn w:val="Normal"/>
    <w:uiPriority w:val="15"/>
    <w:qFormat/>
    <w:rsid w:val="003336AB"/>
    <w:pPr>
      <w:jc w:val="center"/>
    </w:pPr>
    <w:rPr>
      <w:caps/>
      <w:color w:val="4F81BD" w:themeColor="accent1"/>
    </w:rPr>
  </w:style>
  <w:style w:type="paragraph" w:customStyle="1" w:styleId="SecurityMarkingHdr">
    <w:name w:val="Security Marking (Hdr)"/>
    <w:basedOn w:val="Normal"/>
    <w:uiPriority w:val="15"/>
    <w:qFormat/>
    <w:rsid w:val="003336AB"/>
    <w:pPr>
      <w:jc w:val="center"/>
    </w:pPr>
    <w:rPr>
      <w:caps/>
      <w:color w:val="4F81BD" w:themeColor="accent1"/>
    </w:rPr>
  </w:style>
  <w:style w:type="table" w:customStyle="1" w:styleId="SNCL">
    <w:name w:val="SNCL"/>
    <w:basedOn w:val="TableNormal"/>
    <w:uiPriority w:val="99"/>
    <w:rsid w:val="003336AB"/>
    <w:pPr>
      <w:spacing w:after="0" w:line="240" w:lineRule="auto"/>
    </w:pPr>
    <w:tblPr>
      <w:tblBorders>
        <w:insideH w:val="single" w:sz="4" w:space="0" w:color="C0504D" w:themeColor="accent2"/>
        <w:insideV w:val="single" w:sz="4" w:space="0" w:color="C0504D" w:themeColor="accent2"/>
      </w:tblBorders>
    </w:tblPr>
  </w:style>
  <w:style w:type="paragraph" w:customStyle="1" w:styleId="Subheading">
    <w:name w:val="Subheading"/>
    <w:basedOn w:val="BodyText"/>
    <w:uiPriority w:val="12"/>
    <w:qFormat/>
    <w:rsid w:val="003336AB"/>
    <w:rPr>
      <w:b/>
    </w:rPr>
  </w:style>
  <w:style w:type="paragraph" w:styleId="Subtitle">
    <w:name w:val="Subtitle"/>
    <w:basedOn w:val="Normal"/>
    <w:next w:val="Normal"/>
    <w:link w:val="SubtitleChar"/>
    <w:uiPriority w:val="23"/>
    <w:qFormat/>
    <w:rsid w:val="00180FCD"/>
    <w:pPr>
      <w:numPr>
        <w:ilvl w:val="1"/>
      </w:numPr>
      <w:spacing w:after="160"/>
    </w:pPr>
    <w:rPr>
      <w:rFonts w:asciiTheme="majorHAnsi" w:eastAsiaTheme="minorEastAsia" w:hAnsiTheme="majorHAnsi"/>
      <w:color w:val="000000" w:themeColor="text1"/>
      <w:spacing w:val="15"/>
      <w:sz w:val="40"/>
    </w:rPr>
  </w:style>
  <w:style w:type="character" w:customStyle="1" w:styleId="SubtitleChar">
    <w:name w:val="Subtitle Char"/>
    <w:basedOn w:val="DefaultParagraphFont"/>
    <w:link w:val="Subtitle"/>
    <w:uiPriority w:val="23"/>
    <w:rsid w:val="00180FCD"/>
    <w:rPr>
      <w:rFonts w:asciiTheme="majorHAnsi" w:eastAsiaTheme="minorEastAsia" w:hAnsiTheme="majorHAnsi"/>
      <w:color w:val="000000" w:themeColor="text1"/>
      <w:spacing w:val="15"/>
      <w:sz w:val="40"/>
    </w:rPr>
  </w:style>
  <w:style w:type="table" w:styleId="TableGrid">
    <w:name w:val="Table Grid"/>
    <w:basedOn w:val="TableNormal"/>
    <w:uiPriority w:val="59"/>
    <w:rsid w:val="003336A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Heading">
    <w:name w:val="Table Heading"/>
    <w:basedOn w:val="BodyText"/>
    <w:uiPriority w:val="7"/>
    <w:qFormat/>
    <w:rsid w:val="003336AB"/>
    <w:pPr>
      <w:spacing w:before="60" w:after="60"/>
    </w:pPr>
    <w:rPr>
      <w:color w:val="4F81BD" w:themeColor="accent1"/>
    </w:rPr>
  </w:style>
  <w:style w:type="paragraph" w:styleId="TableofFigures">
    <w:name w:val="table of figures"/>
    <w:basedOn w:val="Normal"/>
    <w:next w:val="Normal"/>
    <w:uiPriority w:val="38"/>
    <w:rsid w:val="003336AB"/>
    <w:pPr>
      <w:tabs>
        <w:tab w:val="right" w:pos="8505"/>
      </w:tabs>
    </w:pPr>
  </w:style>
  <w:style w:type="paragraph" w:customStyle="1" w:styleId="TableSource">
    <w:name w:val="Table Source"/>
    <w:basedOn w:val="BodyText"/>
    <w:next w:val="BodyText"/>
    <w:uiPriority w:val="9"/>
    <w:qFormat/>
    <w:rsid w:val="003336AB"/>
    <w:pPr>
      <w:spacing w:before="60"/>
    </w:pPr>
    <w:rPr>
      <w:sz w:val="16"/>
    </w:rPr>
  </w:style>
  <w:style w:type="paragraph" w:customStyle="1" w:styleId="TableText">
    <w:name w:val="Table Text"/>
    <w:basedOn w:val="BodyText"/>
    <w:uiPriority w:val="8"/>
    <w:qFormat/>
    <w:rsid w:val="003336AB"/>
    <w:pPr>
      <w:spacing w:before="60" w:after="60"/>
    </w:pPr>
  </w:style>
  <w:style w:type="paragraph" w:customStyle="1" w:styleId="TableTitle">
    <w:name w:val="Table Title"/>
    <w:basedOn w:val="BodyText"/>
    <w:uiPriority w:val="6"/>
    <w:qFormat/>
    <w:rsid w:val="003336AB"/>
    <w:pPr>
      <w:tabs>
        <w:tab w:val="left" w:pos="1134"/>
      </w:tabs>
      <w:spacing w:before="200" w:after="60"/>
    </w:pPr>
    <w:rPr>
      <w:b/>
    </w:rPr>
  </w:style>
  <w:style w:type="paragraph" w:styleId="Title">
    <w:name w:val="Title"/>
    <w:basedOn w:val="Normal"/>
    <w:next w:val="Normal"/>
    <w:link w:val="TitleChar"/>
    <w:uiPriority w:val="22"/>
    <w:qFormat/>
    <w:rsid w:val="00180FCD"/>
    <w:pPr>
      <w:contextualSpacing/>
    </w:pPr>
    <w:rPr>
      <w:rFonts w:asciiTheme="majorHAnsi" w:eastAsiaTheme="majorEastAsia" w:hAnsiTheme="majorHAnsi" w:cstheme="majorBidi"/>
      <w:color w:val="000000" w:themeColor="text1"/>
      <w:spacing w:val="-10"/>
      <w:kern w:val="28"/>
      <w:sz w:val="64"/>
      <w:szCs w:val="56"/>
    </w:rPr>
  </w:style>
  <w:style w:type="character" w:customStyle="1" w:styleId="TitleChar">
    <w:name w:val="Title Char"/>
    <w:basedOn w:val="DefaultParagraphFont"/>
    <w:link w:val="Title"/>
    <w:uiPriority w:val="22"/>
    <w:rsid w:val="00180FCD"/>
    <w:rPr>
      <w:rFonts w:asciiTheme="majorHAnsi" w:eastAsiaTheme="majorEastAsia" w:hAnsiTheme="majorHAnsi" w:cstheme="majorBidi"/>
      <w:color w:val="000000" w:themeColor="text1"/>
      <w:spacing w:val="-10"/>
      <w:kern w:val="28"/>
      <w:sz w:val="64"/>
      <w:szCs w:val="56"/>
    </w:rPr>
  </w:style>
  <w:style w:type="character" w:customStyle="1" w:styleId="TitleText">
    <w:name w:val="Title Text"/>
    <w:basedOn w:val="DefaultParagraphFont"/>
    <w:uiPriority w:val="1"/>
    <w:qFormat/>
    <w:rsid w:val="00B42B98"/>
    <w:rPr>
      <w:b/>
      <w:color w:val="auto"/>
    </w:rPr>
  </w:style>
  <w:style w:type="paragraph" w:styleId="TOC1">
    <w:name w:val="toc 1"/>
    <w:basedOn w:val="Normal"/>
    <w:next w:val="Normal"/>
    <w:uiPriority w:val="39"/>
    <w:rsid w:val="007A5998"/>
    <w:pPr>
      <w:spacing w:after="200"/>
    </w:pPr>
    <w:rPr>
      <w:color w:val="auto"/>
    </w:rPr>
  </w:style>
  <w:style w:type="paragraph" w:styleId="TOC2">
    <w:name w:val="toc 2"/>
    <w:basedOn w:val="Normal"/>
    <w:next w:val="Normal"/>
    <w:uiPriority w:val="39"/>
    <w:rsid w:val="007A5998"/>
    <w:rPr>
      <w:color w:val="auto"/>
    </w:rPr>
  </w:style>
  <w:style w:type="paragraph" w:styleId="TOC3">
    <w:name w:val="toc 3"/>
    <w:basedOn w:val="Normal"/>
    <w:next w:val="Normal"/>
    <w:autoRedefine/>
    <w:uiPriority w:val="39"/>
    <w:rsid w:val="003336AB"/>
    <w:pPr>
      <w:tabs>
        <w:tab w:val="left" w:pos="680"/>
        <w:tab w:val="right" w:pos="8505"/>
      </w:tabs>
      <w:spacing w:after="40"/>
      <w:ind w:right="284"/>
    </w:pPr>
  </w:style>
  <w:style w:type="paragraph" w:styleId="TOC4">
    <w:name w:val="toc 4"/>
    <w:basedOn w:val="Normal"/>
    <w:next w:val="Normal"/>
    <w:autoRedefine/>
    <w:uiPriority w:val="39"/>
    <w:rsid w:val="003336AB"/>
    <w:pPr>
      <w:tabs>
        <w:tab w:val="right" w:pos="8505"/>
      </w:tabs>
      <w:spacing w:after="40"/>
      <w:ind w:right="284"/>
    </w:pPr>
  </w:style>
  <w:style w:type="paragraph" w:styleId="TOC6">
    <w:name w:val="toc 6"/>
    <w:basedOn w:val="Normal"/>
    <w:next w:val="Normal"/>
    <w:autoRedefine/>
    <w:uiPriority w:val="39"/>
    <w:rsid w:val="003336AB"/>
    <w:pPr>
      <w:tabs>
        <w:tab w:val="right" w:pos="8505"/>
      </w:tabs>
      <w:spacing w:before="240"/>
      <w:ind w:right="284"/>
    </w:pPr>
    <w:rPr>
      <w:b/>
      <w:sz w:val="22"/>
    </w:rPr>
  </w:style>
  <w:style w:type="paragraph" w:customStyle="1" w:styleId="TopSpace">
    <w:name w:val="Top Space"/>
    <w:basedOn w:val="BodyText"/>
    <w:uiPriority w:val="35"/>
    <w:rsid w:val="003336AB"/>
    <w:pPr>
      <w:spacing w:after="360"/>
    </w:pPr>
  </w:style>
  <w:style w:type="character" w:styleId="UnresolvedMention">
    <w:name w:val="Unresolved Mention"/>
    <w:basedOn w:val="DefaultParagraphFont"/>
    <w:uiPriority w:val="99"/>
    <w:semiHidden/>
    <w:unhideWhenUsed/>
    <w:rsid w:val="00C9454E"/>
    <w:rPr>
      <w:color w:val="605E5C"/>
      <w:shd w:val="clear" w:color="auto" w:fill="E1DFDD"/>
    </w:rPr>
  </w:style>
  <w:style w:type="paragraph" w:styleId="NormalWeb">
    <w:name w:val="Normal (Web)"/>
    <w:basedOn w:val="Normal"/>
    <w:uiPriority w:val="99"/>
    <w:unhideWhenUsed/>
    <w:rsid w:val="00C728F4"/>
    <w:pPr>
      <w:spacing w:before="100" w:beforeAutospacing="1" w:after="100" w:afterAutospacing="1"/>
    </w:pPr>
    <w:rPr>
      <w:rFonts w:ascii="Times New Roman" w:eastAsia="Times New Roman" w:hAnsi="Times New Roman" w:cs="Times New Roman"/>
      <w:color w:val="auto"/>
      <w:sz w:val="24"/>
      <w:szCs w:val="24"/>
      <w:lang w:eastAsia="en-GB"/>
    </w:rPr>
  </w:style>
  <w:style w:type="paragraph" w:customStyle="1" w:styleId="Mainheading">
    <w:name w:val="Main heading"/>
    <w:basedOn w:val="Normal"/>
    <w:autoRedefine/>
    <w:rsid w:val="006B7CBB"/>
    <w:pPr>
      <w:spacing w:after="120" w:line="320" w:lineRule="exact"/>
      <w:outlineLvl w:val="5"/>
    </w:pPr>
    <w:rPr>
      <w:rFonts w:ascii="Franklin Gothic Book" w:eastAsia="Times New Roman" w:hAnsi="Franklin Gothic Book" w:cs="Times New Roman"/>
      <w:b/>
      <w:bCs/>
      <w:color w:val="auto"/>
      <w:sz w:val="28"/>
      <w:szCs w:val="28"/>
      <w:lang w:val="en-US"/>
    </w:rPr>
  </w:style>
  <w:style w:type="paragraph" w:customStyle="1" w:styleId="Appendix">
    <w:name w:val="Appendix"/>
    <w:basedOn w:val="BodyText"/>
    <w:uiPriority w:val="36"/>
    <w:qFormat/>
    <w:rsid w:val="00600323"/>
    <w:pPr>
      <w:numPr>
        <w:numId w:val="8"/>
      </w:numPr>
      <w:ind w:left="0" w:firstLine="0"/>
      <w:contextualSpacing/>
      <w:outlineLvl w:val="0"/>
    </w:pPr>
  </w:style>
  <w:style w:type="paragraph" w:styleId="ListParagraph">
    <w:name w:val="List Paragraph"/>
    <w:basedOn w:val="Normal"/>
    <w:uiPriority w:val="34"/>
    <w:qFormat/>
    <w:rsid w:val="00235EE7"/>
    <w:pPr>
      <w:spacing w:after="160" w:line="259" w:lineRule="auto"/>
      <w:ind w:left="720"/>
      <w:contextualSpacing/>
    </w:pPr>
    <w:rPr>
      <w:rFonts w:asciiTheme="minorHAnsi" w:hAnsiTheme="minorHAnsi"/>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993955">
      <w:bodyDiv w:val="1"/>
      <w:marLeft w:val="0"/>
      <w:marRight w:val="0"/>
      <w:marTop w:val="0"/>
      <w:marBottom w:val="0"/>
      <w:divBdr>
        <w:top w:val="none" w:sz="0" w:space="0" w:color="auto"/>
        <w:left w:val="none" w:sz="0" w:space="0" w:color="auto"/>
        <w:bottom w:val="none" w:sz="0" w:space="0" w:color="auto"/>
        <w:right w:val="none" w:sz="0" w:space="0" w:color="auto"/>
      </w:divBdr>
    </w:div>
    <w:div w:id="376777480">
      <w:bodyDiv w:val="1"/>
      <w:marLeft w:val="0"/>
      <w:marRight w:val="0"/>
      <w:marTop w:val="0"/>
      <w:marBottom w:val="0"/>
      <w:divBdr>
        <w:top w:val="none" w:sz="0" w:space="0" w:color="auto"/>
        <w:left w:val="none" w:sz="0" w:space="0" w:color="auto"/>
        <w:bottom w:val="none" w:sz="0" w:space="0" w:color="auto"/>
        <w:right w:val="none" w:sz="0" w:space="0" w:color="auto"/>
      </w:divBdr>
    </w:div>
    <w:div w:id="976691901">
      <w:bodyDiv w:val="1"/>
      <w:marLeft w:val="0"/>
      <w:marRight w:val="0"/>
      <w:marTop w:val="0"/>
      <w:marBottom w:val="0"/>
      <w:divBdr>
        <w:top w:val="none" w:sz="0" w:space="0" w:color="auto"/>
        <w:left w:val="none" w:sz="0" w:space="0" w:color="auto"/>
        <w:bottom w:val="none" w:sz="0" w:space="0" w:color="auto"/>
        <w:right w:val="none" w:sz="0" w:space="0" w:color="auto"/>
      </w:divBdr>
    </w:div>
    <w:div w:id="1459488676">
      <w:bodyDiv w:val="1"/>
      <w:marLeft w:val="0"/>
      <w:marRight w:val="0"/>
      <w:marTop w:val="0"/>
      <w:marBottom w:val="0"/>
      <w:divBdr>
        <w:top w:val="none" w:sz="0" w:space="0" w:color="auto"/>
        <w:left w:val="none" w:sz="0" w:space="0" w:color="auto"/>
        <w:bottom w:val="none" w:sz="0" w:space="0" w:color="auto"/>
        <w:right w:val="none" w:sz="0" w:space="0" w:color="auto"/>
      </w:divBdr>
    </w:div>
    <w:div w:id="1723404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letsrecycle.com/prices/metals/ferrous-metal-prices/ferrous-grade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teesvalley-ca.gov.uk/inspiring-future-ambitious-vision-launched-transform-education-employment-skills/"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acebook.com/.../Grangetown-Training-and-Employment-Hub-175384974"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AFDD94AF81945AD9974DA8E55F51C7B"/>
        <w:category>
          <w:name w:val="General"/>
          <w:gallery w:val="placeholder"/>
        </w:category>
        <w:types>
          <w:type w:val="bbPlcHdr"/>
        </w:types>
        <w:behaviors>
          <w:behavior w:val="content"/>
        </w:behaviors>
        <w:guid w:val="{6A9F8133-58EE-4119-8957-65A7E4E8E5CB}"/>
      </w:docPartPr>
      <w:docPartBody>
        <w:p w:rsidR="00404A79" w:rsidRDefault="00881793" w:rsidP="00881793">
          <w:pPr>
            <w:pStyle w:val="EAFDD94AF81945AD9974DA8E55F51C7B"/>
          </w:pPr>
          <w:r w:rsidRPr="001D3492">
            <w:rPr>
              <w:rStyle w:val="PlaceholderText"/>
            </w:rPr>
            <w:t xml:space="preserve">Click here to </w:t>
          </w:r>
          <w:r>
            <w:rPr>
              <w:rStyle w:val="PlaceholderText"/>
            </w:rPr>
            <w:t>project title</w:t>
          </w:r>
          <w:r w:rsidRPr="001D3492">
            <w:rPr>
              <w:rStyle w:val="PlaceholderText"/>
            </w:rPr>
            <w:t>.</w:t>
          </w:r>
        </w:p>
      </w:docPartBody>
    </w:docPart>
    <w:docPart>
      <w:docPartPr>
        <w:name w:val="417003871C3447B48A6DD02BE7B92A48"/>
        <w:category>
          <w:name w:val="General"/>
          <w:gallery w:val="placeholder"/>
        </w:category>
        <w:types>
          <w:type w:val="bbPlcHdr"/>
        </w:types>
        <w:behaviors>
          <w:behavior w:val="content"/>
        </w:behaviors>
        <w:guid w:val="{13457B5C-3D2B-440C-B19B-BE64D2050619}"/>
      </w:docPartPr>
      <w:docPartBody>
        <w:p w:rsidR="00404A79" w:rsidRDefault="00881793" w:rsidP="00881793">
          <w:pPr>
            <w:pStyle w:val="417003871C3447B48A6DD02BE7B92A48"/>
          </w:pPr>
          <w:r w:rsidRPr="001D3492">
            <w:rPr>
              <w:rStyle w:val="PlaceholderText"/>
            </w:rPr>
            <w:t xml:space="preserve">Click here to enter </w:t>
          </w:r>
          <w:r>
            <w:rPr>
              <w:rStyle w:val="PlaceholderText"/>
            </w:rPr>
            <w:t>document title</w:t>
          </w:r>
          <w:r w:rsidRPr="001D3492">
            <w:rPr>
              <w:rStyle w:val="PlaceholderText"/>
            </w:rPr>
            <w:t>.</w:t>
          </w:r>
        </w:p>
      </w:docPartBody>
    </w:docPart>
    <w:docPart>
      <w:docPartPr>
        <w:name w:val="69756C10A208469B9DF9779BE8FCA895"/>
        <w:category>
          <w:name w:val="General"/>
          <w:gallery w:val="placeholder"/>
        </w:category>
        <w:types>
          <w:type w:val="bbPlcHdr"/>
        </w:types>
        <w:behaviors>
          <w:behavior w:val="content"/>
        </w:behaviors>
        <w:guid w:val="{E7D18C7C-62E4-4604-9E3B-228D9C1328FD}"/>
      </w:docPartPr>
      <w:docPartBody>
        <w:p w:rsidR="00404A79" w:rsidRDefault="00881793" w:rsidP="00881793">
          <w:pPr>
            <w:pStyle w:val="69756C10A208469B9DF9779BE8FCA895"/>
          </w:pPr>
          <w:r w:rsidRPr="001D3492">
            <w:t xml:space="preserve">Click here to enter </w:t>
          </w:r>
          <w:r>
            <w:t>client name</w:t>
          </w:r>
          <w:r w:rsidRPr="001D3492">
            <w:t>.</w:t>
          </w:r>
        </w:p>
      </w:docPartBody>
    </w:docPart>
    <w:docPart>
      <w:docPartPr>
        <w:name w:val="884A9778C40D4343BE386A2A0B5EC448"/>
        <w:category>
          <w:name w:val="General"/>
          <w:gallery w:val="placeholder"/>
        </w:category>
        <w:types>
          <w:type w:val="bbPlcHdr"/>
        </w:types>
        <w:behaviors>
          <w:behavior w:val="content"/>
        </w:behaviors>
        <w:guid w:val="{9018E5C0-DF65-4DC4-BF72-C60DBF3D332E}"/>
      </w:docPartPr>
      <w:docPartBody>
        <w:p w:rsidR="00404A79" w:rsidRDefault="00881793" w:rsidP="00881793">
          <w:pPr>
            <w:pStyle w:val="884A9778C40D4343BE386A2A0B5EC448"/>
          </w:pPr>
          <w:r w:rsidRPr="001D3492">
            <w:rPr>
              <w:rStyle w:val="PlaceholderText"/>
            </w:rPr>
            <w:t xml:space="preserve">Click here to enter </w:t>
          </w:r>
          <w:r>
            <w:rPr>
              <w:rStyle w:val="PlaceholderText"/>
            </w:rPr>
            <w:t>date</w:t>
          </w:r>
          <w:r w:rsidRPr="001D3492">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Franklin Gothic Book">
    <w:altName w:val="Corbel"/>
    <w:panose1 w:val="020B05030201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793"/>
    <w:rsid w:val="00001C44"/>
    <w:rsid w:val="000400F9"/>
    <w:rsid w:val="000A623B"/>
    <w:rsid w:val="002777A0"/>
    <w:rsid w:val="00404A79"/>
    <w:rsid w:val="00525532"/>
    <w:rsid w:val="005635A0"/>
    <w:rsid w:val="00666805"/>
    <w:rsid w:val="00772358"/>
    <w:rsid w:val="0086666D"/>
    <w:rsid w:val="00881793"/>
    <w:rsid w:val="008A37C5"/>
    <w:rsid w:val="009B7FF5"/>
    <w:rsid w:val="00AC29AC"/>
    <w:rsid w:val="00C50C9B"/>
    <w:rsid w:val="00F943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81793"/>
    <w:rPr>
      <w:color w:val="808080"/>
    </w:rPr>
  </w:style>
  <w:style w:type="paragraph" w:customStyle="1" w:styleId="EAFDD94AF81945AD9974DA8E55F51C7B">
    <w:name w:val="EAFDD94AF81945AD9974DA8E55F51C7B"/>
    <w:rsid w:val="00881793"/>
  </w:style>
  <w:style w:type="paragraph" w:customStyle="1" w:styleId="417003871C3447B48A6DD02BE7B92A48">
    <w:name w:val="417003871C3447B48A6DD02BE7B92A48"/>
    <w:rsid w:val="00881793"/>
  </w:style>
  <w:style w:type="paragraph" w:customStyle="1" w:styleId="69756C10A208469B9DF9779BE8FCA895">
    <w:name w:val="69756C10A208469B9DF9779BE8FCA895"/>
    <w:rsid w:val="00881793"/>
  </w:style>
  <w:style w:type="paragraph" w:customStyle="1" w:styleId="884A9778C40D4343BE386A2A0B5EC448">
    <w:name w:val="884A9778C40D4343BE386A2A0B5EC448"/>
    <w:rsid w:val="008817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2A8CB082A131245A1E8C5E3C5AA0FCF" ma:contentTypeVersion="0" ma:contentTypeDescription="Create a new document." ma:contentTypeScope="" ma:versionID="65a33710b43d9dbbd9533dff64f2810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B457E1C7-AA6C-47BC-B616-BCAB737882C2}"/>
</file>

<file path=customXml/itemProps2.xml><?xml version="1.0" encoding="utf-8"?>
<ds:datastoreItem xmlns:ds="http://schemas.openxmlformats.org/officeDocument/2006/customXml" ds:itemID="{B9C026BA-7961-48D0-BE90-3DE39CD8308F}"/>
</file>

<file path=customXml/itemProps3.xml><?xml version="1.0" encoding="utf-8"?>
<ds:datastoreItem xmlns:ds="http://schemas.openxmlformats.org/officeDocument/2006/customXml" ds:itemID="{B455EFA4-4C22-40AB-A6EF-F7B8ED059010}"/>
</file>

<file path=customXml/itemProps4.xml><?xml version="1.0" encoding="utf-8"?>
<ds:datastoreItem xmlns:ds="http://schemas.openxmlformats.org/officeDocument/2006/customXml" ds:itemID="{54EEBF61-1DC4-4127-B90C-739E7115EBA7}"/>
</file>

<file path=docProps/app.xml><?xml version="1.0" encoding="utf-8"?>
<Properties xmlns="http://schemas.openxmlformats.org/officeDocument/2006/extended-properties" xmlns:vt="http://schemas.openxmlformats.org/officeDocument/2006/docPropsVTypes">
  <Template>Normal</Template>
  <TotalTime>10</TotalTime>
  <Pages>16</Pages>
  <Words>5096</Words>
  <Characters>29051</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Works Information</vt:lpstr>
    </vt:vector>
  </TitlesOfParts>
  <Company>BIS</Company>
  <LinksUpToDate>false</LinksUpToDate>
  <CharactersWithSpaces>34079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Works Information</dc:title>
  <dc:creator>Mitchell Richard (HR)</dc:creator>
  <cp:lastModifiedBy>Groves, Ian</cp:lastModifiedBy>
  <cp:revision>9</cp:revision>
  <dcterms:created xsi:type="dcterms:W3CDTF">2018-10-22T15:05:00Z</dcterms:created>
  <dcterms:modified xsi:type="dcterms:W3CDTF">2018-10-23T10:45:00Z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0x01010062A8CB082A131245A1E8C5E3C5AA0FCF</vt:lpwstr>
  </property>
  <property fmtid="{D5CDD505-2E9C-101B-9397-08002B2CF9AE}" pid="3" name="iNSTOREService">
    <vt:lpwstr>162;#Response Planning|14660456-f1bc-448c-9e40-4f051f8bb7e8;#250;#Monitoring ＆ Control|85342720-da94-4b37-bb8f-7826fd19474e;#57;#Activity Definition|21e7c860-9db6-4294-b2e2-79b74575a446;#109;#Activity Sequencing|dd312a58-bad4-4524-8daa-e8636b61c157;#61;#S</vt:lpwstr>
  </property>
  <property fmtid="{D5CDD505-2E9C-101B-9397-08002B2CF9AE}" pid="4" name="instoreDWPDDocumentType">
    <vt:lpwstr/>
  </property>
  <property fmtid="{D5CDD505-2E9C-101B-9397-08002B2CF9AE}" pid="5" name="iNSTOREFGDivision">
    <vt:lpwstr>8;#UK ＆ Europe|2df4253f-6204-4d18-8c90-428a769a6364</vt:lpwstr>
  </property>
  <property fmtid="{D5CDD505-2E9C-101B-9397-08002B2CF9AE}" pid="6" name="iNSTOREOffices">
    <vt:lpwstr>419;#Stockton|f451ccb8-a180-48c5-a09f-95781e0c222a</vt:lpwstr>
  </property>
  <property fmtid="{D5CDD505-2E9C-101B-9397-08002B2CF9AE}" pid="7" name="iNSTOREFGMarketSector">
    <vt:lpwstr>446;#Manufacturing - Heavy Industrial|cd2cd648-ca66-471b-afd6-f1cbb5adfa01</vt:lpwstr>
  </property>
  <property fmtid="{D5CDD505-2E9C-101B-9397-08002B2CF9AE}" pid="8" name="Order">
    <vt:r8>200400</vt:r8>
  </property>
  <property fmtid="{D5CDD505-2E9C-101B-9397-08002B2CF9AE}" pid="10" name="instoreSiteStage">
    <vt:lpwstr>Active</vt:lpwstr>
  </property>
  <property fmtid="{D5CDD505-2E9C-101B-9397-08002B2CF9AE}" pid="11" name="iNSTOREProjectDirector">
    <vt:lpwstr>Gardner, David3548</vt:lpwstr>
  </property>
  <property fmtid="{D5CDD505-2E9C-101B-9397-08002B2CF9AE}" pid="12" name="iNSTOREIndependentReviewer">
    <vt:lpwstr/>
  </property>
  <property fmtid="{D5CDD505-2E9C-101B-9397-08002B2CF9AE}" pid="13" name="iNSTOREProjectTitle">
    <vt:lpwstr>5169421 - Decontamination Project Management</vt:lpwstr>
  </property>
  <property fmtid="{D5CDD505-2E9C-101B-9397-08002B2CF9AE}" pid="15" name="iNSTOREAuthorizer">
    <vt:lpwstr/>
  </property>
  <property fmtid="{D5CDD505-2E9C-101B-9397-08002B2CF9AE}" pid="17" name="iNSTOREChecker">
    <vt:lpwstr/>
  </property>
  <property fmtid="{D5CDD505-2E9C-101B-9397-08002B2CF9AE}" pid="20" name="instoreWFEmailSent">
    <vt:lpwstr>No</vt:lpwstr>
  </property>
  <property fmtid="{D5CDD505-2E9C-101B-9397-08002B2CF9AE}" pid="21" name="h6996d42d8e648e5978b3895d3bbfa27">
    <vt:lpwstr>Manufacturing - Heavy Industrialcd2cd648-ca66-471b-afd6-f1cbb5adfa01</vt:lpwstr>
  </property>
  <property fmtid="{D5CDD505-2E9C-101B-9397-08002B2CF9AE}" pid="22" name="oc2c6425cdae410c8ef5d2dc48d80583">
    <vt:lpwstr/>
  </property>
  <property fmtid="{D5CDD505-2E9C-101B-9397-08002B2CF9AE}" pid="24" name="pa103e6408ec4146898daa70bb1512f1">
    <vt:lpwstr>Response Planning14660456-f1bc-448c-9e40-4f051f8bb7e8Monitoring ＆ Control85342720-da94-4b37-bb8f-7826fd19474eActivity Definition21e7c860-9db6-4294-b2e2-79b74575a446Activity Sequencingdd312a58-bad4-4524-8daa-e8636b61c157Schedule Developmentaceb0672-8ed8-49ee-90bb-02aee9414744Schedule Control0c22c09f-809d-42ba-9d17-5e1d749f96efChange Management (Change Control)e98276b2-c1d3-4a74-89b9-4b71f08705dbRisk Management72e6d4e2-2b6d-4328-b3a8-b2d5b354c55aInformation Management ＆ Reporting (Project Reporting)c3ace9f7-2f93-4f3b-8663-f8194d7809baProject Controls Generally851e08da-2abe-48ce-ae19-b2910dd151fbRisk Identification672f2506-1d14-4f12-8bc3-d5b202fbb225Risk Analysis9f73af55-6659-4ff2-b665-2c3417521c8dSafety Advice ＆ Planning5df62271-90cb-4e49-a3c6-d9516e82e107Activity Definition (WBS Creation)6e0ff9d2-6523-4a92-a9d1-09bd909fd7ddActivity Sequencing (Project Planning)21c38d83-2a89-48dc-8afc-23554731e39fEstimating00dd8bfc-3078-4942-9f3e-ba8f6e258019Cost Controlf14b80cb-43ed-4f5a-a679-8fb084587439Project Management9a9b7133-d397-47a6-9e30-5ff5d8dd4f57Construction Management0fa6833e-f1a5-41e5-a805-cc03106a3591Employer's Agent7ce13101-fb32-4c0c-921e-75e00e90f013Cost Planning8d58a206-accd-4cf3-9e4a-b7d0e5a66436Cost Estimatingf455027a-2679-4630-b861-ce7db2731424Cost Controlcae3f58f-3885-4e35-91c8-8fd795d460fd</vt:lpwstr>
  </property>
  <property fmtid="{D5CDD505-2E9C-101B-9397-08002B2CF9AE}" pid="25" name="iNSTORESiteTemplate">
    <vt:lpwstr>Deliver Work Template</vt:lpwstr>
  </property>
  <property fmtid="{D5CDD505-2E9C-101B-9397-08002B2CF9AE}" pid="26" name="Update Document Type And Group">
    <vt:lpwstr/>
  </property>
  <property fmtid="{D5CDD505-2E9C-101B-9397-08002B2CF9AE}" pid="27" name="instoreDWDocumentGroup">
    <vt:lpwstr>04. Tender Documents</vt:lpwstr>
  </property>
  <property fmtid="{D5CDD505-2E9C-101B-9397-08002B2CF9AE}" pid="28" name="instoreStartDate">
    <vt:lpwstr>2018-08-27T23:00:00+00:00</vt:lpwstr>
  </property>
  <property fmtid="{D5CDD505-2E9C-101B-9397-08002B2CF9AE}" pid="29" name="g877beeba1ad4cb68341dc5c55876751">
    <vt:lpwstr>Stocktonf451ccb8-a180-48c5-a09f-95781e0c222a</vt:lpwstr>
  </property>
  <property fmtid="{D5CDD505-2E9C-101B-9397-08002B2CF9AE}" pid="30" name="i51536457a5d4e71b3e0197979b8cd19">
    <vt:lpwstr>UK ＆ Europe2df4253f-6204-4d18-8c90-428a769a6364</vt:lpwstr>
  </property>
  <property fmtid="{D5CDD505-2E9C-101B-9397-08002B2CF9AE}" pid="31" name="iNSTOREWorkflowOriginator">
    <vt:lpwstr/>
  </property>
  <property fmtid="{D5CDD505-2E9C-101B-9397-08002B2CF9AE}" pid="33" name="instoreDocumentOwner">
    <vt:lpwstr/>
  </property>
  <property fmtid="{D5CDD505-2E9C-101B-9397-08002B2CF9AE}" pid="34" name="Update Project Documents Metadata">
    <vt:lpwstr/>
  </property>
  <property fmtid="{D5CDD505-2E9C-101B-9397-08002B2CF9AE}" pid="37" name="iNSTOREJDEJobNumber">
    <vt:lpwstr>5169421</vt:lpwstr>
  </property>
  <property fmtid="{D5CDD505-2E9C-101B-9397-08002B2CF9AE}" pid="38" name="TaxCatchAll">
    <vt:lpwstr>73109389616725018199394467572042031716162134197647453193202844636</vt:lpwstr>
  </property>
  <property fmtid="{D5CDD505-2E9C-101B-9397-08002B2CF9AE}" pid="41" name="instoreReceivedFromThirdParty">
    <vt:lpwstr>No</vt:lpwstr>
  </property>
  <property fmtid="{D5CDD505-2E9C-101B-9397-08002B2CF9AE}" pid="42" name="iNSTOREDWDocumentStatus">
    <vt:lpwstr>Work in progress</vt:lpwstr>
  </property>
  <property fmtid="{D5CDD505-2E9C-101B-9397-08002B2CF9AE}" pid="44" name="instoreServiceDocumentGroup">
    <vt:lpwstr>Project Services &amp; Advisory Services (BS&amp;A) -&gt; 04. Tender Documents</vt:lpwstr>
  </property>
  <property fmtid="{D5CDD505-2E9C-101B-9397-08002B2CF9AE}" pid="45" name="iNSTOREExemplar">
    <vt:lpwstr>Yes</vt:lpwstr>
  </property>
  <property fmtid="{D5CDD505-2E9C-101B-9397-08002B2CF9AE}" pid="47" name="instoreEndDate">
    <vt:lpwstr>2021-07-31T23:00:00+00:00</vt:lpwstr>
  </property>
  <property fmtid="{D5CDD505-2E9C-101B-9397-08002B2CF9AE}" pid="48" name="iNSTOREVersion">
    <vt:lpwstr>0.1</vt:lpwstr>
  </property>
  <property fmtid="{D5CDD505-2E9C-101B-9397-08002B2CF9AE}" pid="49" name="iNSTOREClient">
    <vt:lpwstr>South Tees Site Company Ltd</vt:lpwstr>
  </property>
  <property fmtid="{D5CDD505-2E9C-101B-9397-08002B2CF9AE}" pid="50" name="iNSTOREProjectManager">
    <vt:lpwstr>Ross Russell, Duncan683</vt:lpwstr>
  </property>
</Properties>
</file>